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01" w:rsidRPr="008C4374" w:rsidRDefault="009B0AEA" w:rsidP="00EC47A7">
      <w:pPr>
        <w:jc w:val="right"/>
        <w:rPr>
          <w:rFonts w:ascii="Arial" w:hAnsi="Arial" w:cs="Arial"/>
          <w:b/>
          <w:sz w:val="96"/>
          <w:szCs w:val="96"/>
          <w:lang w:val="es-ES"/>
        </w:rPr>
      </w:pPr>
      <w:r>
        <w:rPr>
          <w:rFonts w:ascii="Arial" w:hAnsi="Arial" w:cs="Arial"/>
          <w:b/>
          <w:sz w:val="96"/>
          <w:szCs w:val="96"/>
          <w:lang w:val="es-ES"/>
        </w:rPr>
        <w:t>MERCADO</w:t>
      </w:r>
      <w:r w:rsidR="00EC47A7">
        <w:rPr>
          <w:rFonts w:ascii="Arial" w:hAnsi="Arial" w:cs="Arial"/>
          <w:b/>
          <w:sz w:val="96"/>
          <w:szCs w:val="96"/>
          <w:lang w:val="es-ES"/>
        </w:rPr>
        <w:t xml:space="preserve"> </w:t>
      </w:r>
      <w:r>
        <w:rPr>
          <w:rFonts w:ascii="Arial" w:hAnsi="Arial" w:cs="Arial"/>
          <w:b/>
          <w:sz w:val="96"/>
          <w:szCs w:val="96"/>
          <w:lang w:val="es-ES"/>
        </w:rPr>
        <w:t>DE TRABALLO</w:t>
      </w:r>
      <w:r w:rsidR="00EC47A7">
        <w:rPr>
          <w:rFonts w:ascii="Arial" w:hAnsi="Arial" w:cs="Arial"/>
          <w:b/>
          <w:sz w:val="96"/>
          <w:szCs w:val="96"/>
          <w:lang w:val="es-ES"/>
        </w:rPr>
        <w:t xml:space="preserve"> 2015</w:t>
      </w:r>
    </w:p>
    <w:p w:rsidR="00451601" w:rsidRPr="008C4374" w:rsidRDefault="00451601" w:rsidP="00451601">
      <w:pPr>
        <w:rPr>
          <w:rFonts w:ascii="Arial" w:hAnsi="Arial" w:cs="Arial"/>
          <w:b/>
          <w:sz w:val="96"/>
          <w:szCs w:val="96"/>
          <w:lang w:val="es-ES"/>
        </w:rPr>
      </w:pPr>
    </w:p>
    <w:p w:rsidR="00451601" w:rsidRDefault="00451601" w:rsidP="00451601">
      <w:pPr>
        <w:rPr>
          <w:rFonts w:ascii="Arial" w:hAnsi="Arial" w:cs="Arial"/>
          <w:b/>
          <w:sz w:val="96"/>
          <w:szCs w:val="96"/>
          <w:lang w:val="es-ES"/>
        </w:rPr>
      </w:pPr>
    </w:p>
    <w:p w:rsidR="00EC47A7" w:rsidRPr="008C4374" w:rsidRDefault="00EC47A7" w:rsidP="00451601">
      <w:pPr>
        <w:rPr>
          <w:rFonts w:ascii="Arial" w:hAnsi="Arial" w:cs="Arial"/>
          <w:b/>
          <w:sz w:val="96"/>
          <w:szCs w:val="96"/>
          <w:lang w:val="es-ES"/>
        </w:rPr>
      </w:pPr>
    </w:p>
    <w:p w:rsidR="00451601" w:rsidRPr="008C4374" w:rsidRDefault="00451601" w:rsidP="00451601">
      <w:pPr>
        <w:rPr>
          <w:rFonts w:ascii="Arial" w:hAnsi="Arial" w:cs="Arial"/>
          <w:b/>
          <w:sz w:val="40"/>
          <w:szCs w:val="40"/>
          <w:lang w:val="es-ES"/>
        </w:rPr>
      </w:pPr>
    </w:p>
    <w:p w:rsidR="00451601" w:rsidRPr="008C4374" w:rsidRDefault="00451601" w:rsidP="00451601">
      <w:pPr>
        <w:rPr>
          <w:rFonts w:ascii="Arial" w:hAnsi="Arial" w:cs="Arial"/>
          <w:b/>
          <w:sz w:val="40"/>
          <w:szCs w:val="40"/>
          <w:lang w:val="es-ES"/>
        </w:rPr>
      </w:pPr>
    </w:p>
    <w:p w:rsidR="00451601" w:rsidRPr="008C4374" w:rsidRDefault="00451601" w:rsidP="00451601">
      <w:pPr>
        <w:rPr>
          <w:rFonts w:ascii="Arial" w:hAnsi="Arial" w:cs="Arial"/>
          <w:b/>
          <w:sz w:val="40"/>
          <w:szCs w:val="40"/>
          <w:lang w:val="es-ES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140335</wp:posOffset>
            </wp:positionV>
            <wp:extent cx="1675765" cy="1013460"/>
            <wp:effectExtent l="1905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13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601" w:rsidRPr="008C4374" w:rsidRDefault="00451601" w:rsidP="00451601">
      <w:pPr>
        <w:rPr>
          <w:rFonts w:ascii="Arial" w:hAnsi="Arial" w:cs="Arial"/>
          <w:b/>
          <w:sz w:val="40"/>
          <w:szCs w:val="40"/>
          <w:lang w:val="es-ES"/>
        </w:rPr>
      </w:pPr>
    </w:p>
    <w:p w:rsidR="00451601" w:rsidRPr="008C4374" w:rsidRDefault="00451601" w:rsidP="00451601">
      <w:pPr>
        <w:rPr>
          <w:rFonts w:ascii="Arial" w:hAnsi="Arial" w:cs="Arial"/>
          <w:b/>
          <w:sz w:val="40"/>
          <w:szCs w:val="40"/>
          <w:lang w:val="es-ES"/>
        </w:rPr>
      </w:pPr>
    </w:p>
    <w:p w:rsidR="00451601" w:rsidRDefault="00451601" w:rsidP="00451601">
      <w:pPr>
        <w:jc w:val="right"/>
        <w:rPr>
          <w:rFonts w:ascii="Arial" w:hAnsi="Arial" w:cs="Arial"/>
          <w:b/>
          <w:sz w:val="40"/>
          <w:szCs w:val="40"/>
          <w:lang w:val="es-ES"/>
        </w:rPr>
      </w:pPr>
      <w:r w:rsidRPr="008C4374">
        <w:rPr>
          <w:rFonts w:ascii="Arial" w:hAnsi="Arial" w:cs="Arial"/>
          <w:b/>
          <w:sz w:val="40"/>
          <w:szCs w:val="40"/>
          <w:lang w:val="es-ES"/>
        </w:rPr>
        <w:t>Gabinete Técnico Confederal</w:t>
      </w:r>
    </w:p>
    <w:p w:rsidR="009B0AEA" w:rsidRDefault="009B0AEA" w:rsidP="00611D6A">
      <w:pPr>
        <w:jc w:val="both"/>
        <w:rPr>
          <w:rFonts w:ascii="Arial" w:hAnsi="Arial" w:cs="Arial"/>
          <w:sz w:val="24"/>
          <w:szCs w:val="24"/>
        </w:rPr>
      </w:pPr>
    </w:p>
    <w:p w:rsidR="009B0AEA" w:rsidRDefault="009B0AEA" w:rsidP="00611D6A">
      <w:pPr>
        <w:jc w:val="both"/>
        <w:rPr>
          <w:rFonts w:ascii="Arial" w:hAnsi="Arial" w:cs="Arial"/>
          <w:sz w:val="24"/>
          <w:szCs w:val="24"/>
        </w:rPr>
      </w:pPr>
    </w:p>
    <w:p w:rsidR="009B0AEA" w:rsidRDefault="009B0AEA" w:rsidP="00611D6A">
      <w:pPr>
        <w:jc w:val="both"/>
        <w:rPr>
          <w:rFonts w:ascii="Arial" w:hAnsi="Arial" w:cs="Arial"/>
          <w:sz w:val="24"/>
          <w:szCs w:val="24"/>
        </w:rPr>
      </w:pPr>
    </w:p>
    <w:p w:rsidR="009B0AEA" w:rsidRDefault="00105B91" w:rsidP="00611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cada ano, e cos distintos datos do mercado laboral publicados </w:t>
      </w:r>
      <w:r w:rsidR="00E077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afiliacións á Seguridade Social, persoas paradas rexistradas no Servizo Público de Emprego, Enquisa de Poboación Activa..), podemos facer </w:t>
      </w:r>
      <w:r w:rsidR="00C46370">
        <w:rPr>
          <w:rFonts w:ascii="Arial" w:hAnsi="Arial" w:cs="Arial"/>
          <w:sz w:val="24"/>
          <w:szCs w:val="24"/>
        </w:rPr>
        <w:t>unha análise cuantitativa de c</w:t>
      </w:r>
      <w:r w:rsidR="00E0776D">
        <w:rPr>
          <w:rFonts w:ascii="Arial" w:hAnsi="Arial" w:cs="Arial"/>
          <w:sz w:val="24"/>
          <w:szCs w:val="24"/>
        </w:rPr>
        <w:t>o</w:t>
      </w:r>
      <w:r w:rsidR="00C46370">
        <w:rPr>
          <w:rFonts w:ascii="Arial" w:hAnsi="Arial" w:cs="Arial"/>
          <w:sz w:val="24"/>
          <w:szCs w:val="24"/>
        </w:rPr>
        <w:t>mo evolucionou o emprego, o paro,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C46370">
        <w:rPr>
          <w:rFonts w:ascii="Arial" w:hAnsi="Arial" w:cs="Arial"/>
          <w:sz w:val="24"/>
          <w:szCs w:val="24"/>
        </w:rPr>
        <w:t>o tipo de contratación...</w:t>
      </w:r>
      <w:r w:rsidR="00E0776D">
        <w:rPr>
          <w:rFonts w:ascii="Arial" w:hAnsi="Arial" w:cs="Arial"/>
          <w:sz w:val="24"/>
          <w:szCs w:val="24"/>
        </w:rPr>
        <w:t xml:space="preserve"> Porén,</w:t>
      </w:r>
      <w:r w:rsidR="00C46370">
        <w:rPr>
          <w:rFonts w:ascii="Arial" w:hAnsi="Arial" w:cs="Arial"/>
          <w:sz w:val="24"/>
          <w:szCs w:val="24"/>
        </w:rPr>
        <w:t xml:space="preserve"> desde a crise que sufrimos desde o ano 2007/2008 rexurdiu unha nova figura que xa tiñamos esquecida, que se vén coñecendo como o “pobre laboral”, un traballador ou traballadora con emprego </w:t>
      </w:r>
      <w:r w:rsidR="00E0776D">
        <w:rPr>
          <w:rFonts w:ascii="Arial" w:hAnsi="Arial" w:cs="Arial"/>
          <w:sz w:val="24"/>
          <w:szCs w:val="24"/>
        </w:rPr>
        <w:t>pero</w:t>
      </w:r>
      <w:r w:rsidR="00C46370">
        <w:rPr>
          <w:rFonts w:ascii="Arial" w:hAnsi="Arial" w:cs="Arial"/>
          <w:sz w:val="24"/>
          <w:szCs w:val="24"/>
        </w:rPr>
        <w:t xml:space="preserve"> pobre.</w:t>
      </w:r>
    </w:p>
    <w:p w:rsidR="00C46370" w:rsidRDefault="00C46370" w:rsidP="00611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</w:t>
      </w:r>
      <w:r w:rsidR="00E0776D">
        <w:rPr>
          <w:rFonts w:ascii="Arial" w:hAnsi="Arial" w:cs="Arial"/>
          <w:sz w:val="24"/>
          <w:szCs w:val="24"/>
        </w:rPr>
        <w:t>ais</w:t>
      </w:r>
      <w:r>
        <w:rPr>
          <w:rFonts w:ascii="Arial" w:hAnsi="Arial" w:cs="Arial"/>
          <w:sz w:val="24"/>
          <w:szCs w:val="24"/>
        </w:rPr>
        <w:t xml:space="preserve"> </w:t>
      </w:r>
      <w:r w:rsidR="00E0776D"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z w:val="24"/>
          <w:szCs w:val="24"/>
        </w:rPr>
        <w:t xml:space="preserve"> temos que retrotraer á ditadura, para rescatar esta figura</w:t>
      </w:r>
      <w:r w:rsidR="00E0776D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 xml:space="preserve">esde finais </w:t>
      </w:r>
      <w:r w:rsidR="00030316">
        <w:rPr>
          <w:rFonts w:ascii="Arial" w:hAnsi="Arial" w:cs="Arial"/>
          <w:sz w:val="24"/>
          <w:szCs w:val="24"/>
        </w:rPr>
        <w:t xml:space="preserve">dos setenta ter un traballo, na maioría dos casos, permitía saír da </w:t>
      </w:r>
      <w:r w:rsidR="00751F1A">
        <w:rPr>
          <w:rFonts w:ascii="Arial" w:hAnsi="Arial" w:cs="Arial"/>
          <w:sz w:val="24"/>
          <w:szCs w:val="24"/>
        </w:rPr>
        <w:t>pobreza</w:t>
      </w:r>
      <w:r w:rsidR="00E0776D">
        <w:rPr>
          <w:rFonts w:ascii="Arial" w:hAnsi="Arial" w:cs="Arial"/>
          <w:sz w:val="24"/>
          <w:szCs w:val="24"/>
        </w:rPr>
        <w:t>;</w:t>
      </w:r>
      <w:r w:rsidR="00751F1A">
        <w:rPr>
          <w:rFonts w:ascii="Arial" w:hAnsi="Arial" w:cs="Arial"/>
          <w:sz w:val="24"/>
          <w:szCs w:val="24"/>
        </w:rPr>
        <w:t xml:space="preserve"> xeralmente </w:t>
      </w:r>
      <w:r w:rsidR="00E0776D">
        <w:rPr>
          <w:rFonts w:ascii="Arial" w:hAnsi="Arial" w:cs="Arial"/>
          <w:sz w:val="24"/>
          <w:szCs w:val="24"/>
        </w:rPr>
        <w:t>a</w:t>
      </w:r>
      <w:r w:rsidR="00751F1A">
        <w:rPr>
          <w:rFonts w:ascii="Arial" w:hAnsi="Arial" w:cs="Arial"/>
          <w:sz w:val="24"/>
          <w:szCs w:val="24"/>
        </w:rPr>
        <w:t xml:space="preserve"> pobreza localizábase en grupos sen emprego. </w:t>
      </w:r>
      <w:r w:rsidR="00E0776D">
        <w:rPr>
          <w:rFonts w:ascii="Arial" w:hAnsi="Arial" w:cs="Arial"/>
          <w:sz w:val="24"/>
          <w:szCs w:val="24"/>
        </w:rPr>
        <w:t>Mais</w:t>
      </w:r>
      <w:r w:rsidR="00751F1A">
        <w:rPr>
          <w:rFonts w:ascii="Arial" w:hAnsi="Arial" w:cs="Arial"/>
          <w:sz w:val="24"/>
          <w:szCs w:val="24"/>
        </w:rPr>
        <w:t xml:space="preserve"> desde que esta crise se instalou, </w:t>
      </w:r>
      <w:r w:rsidR="00E86D44">
        <w:rPr>
          <w:rFonts w:ascii="Arial" w:hAnsi="Arial" w:cs="Arial"/>
          <w:sz w:val="24"/>
          <w:szCs w:val="24"/>
        </w:rPr>
        <w:t xml:space="preserve">para </w:t>
      </w:r>
      <w:r w:rsidR="00751F1A">
        <w:rPr>
          <w:rFonts w:ascii="Arial" w:hAnsi="Arial" w:cs="Arial"/>
          <w:sz w:val="24"/>
          <w:szCs w:val="24"/>
        </w:rPr>
        <w:t>os novos traballadores</w:t>
      </w:r>
      <w:r w:rsidR="00E0776D">
        <w:rPr>
          <w:rFonts w:ascii="Arial" w:hAnsi="Arial" w:cs="Arial"/>
          <w:sz w:val="24"/>
          <w:szCs w:val="24"/>
        </w:rPr>
        <w:t>/as</w:t>
      </w:r>
      <w:r w:rsidR="00751F1A">
        <w:rPr>
          <w:rFonts w:ascii="Arial" w:hAnsi="Arial" w:cs="Arial"/>
          <w:sz w:val="24"/>
          <w:szCs w:val="24"/>
        </w:rPr>
        <w:t>, os</w:t>
      </w:r>
      <w:r w:rsidR="00E0776D">
        <w:rPr>
          <w:rFonts w:ascii="Arial" w:hAnsi="Arial" w:cs="Arial"/>
          <w:sz w:val="24"/>
          <w:szCs w:val="24"/>
        </w:rPr>
        <w:t>/as</w:t>
      </w:r>
      <w:r w:rsidR="00751F1A">
        <w:rPr>
          <w:rFonts w:ascii="Arial" w:hAnsi="Arial" w:cs="Arial"/>
          <w:sz w:val="24"/>
          <w:szCs w:val="24"/>
        </w:rPr>
        <w:t xml:space="preserve"> que accederon</w:t>
      </w:r>
      <w:r w:rsidR="00E0776D">
        <w:rPr>
          <w:rFonts w:ascii="Arial" w:hAnsi="Arial" w:cs="Arial"/>
          <w:sz w:val="24"/>
          <w:szCs w:val="24"/>
        </w:rPr>
        <w:t xml:space="preserve"> ao </w:t>
      </w:r>
      <w:r w:rsidR="00751F1A">
        <w:rPr>
          <w:rFonts w:ascii="Arial" w:hAnsi="Arial" w:cs="Arial"/>
          <w:sz w:val="24"/>
          <w:szCs w:val="24"/>
        </w:rPr>
        <w:t xml:space="preserve">mercado </w:t>
      </w:r>
      <w:r w:rsidR="00030316">
        <w:rPr>
          <w:rFonts w:ascii="Arial" w:hAnsi="Arial" w:cs="Arial"/>
          <w:sz w:val="24"/>
          <w:szCs w:val="24"/>
        </w:rPr>
        <w:t xml:space="preserve">de traballo </w:t>
      </w:r>
      <w:r w:rsidR="00751F1A">
        <w:rPr>
          <w:rFonts w:ascii="Arial" w:hAnsi="Arial" w:cs="Arial"/>
          <w:sz w:val="24"/>
          <w:szCs w:val="24"/>
        </w:rPr>
        <w:t>nos últimos anos, é máis fácil seguir sendo pobre, a pesar de t</w:t>
      </w:r>
      <w:r w:rsidR="00794409">
        <w:rPr>
          <w:rFonts w:ascii="Arial" w:hAnsi="Arial" w:cs="Arial"/>
          <w:sz w:val="24"/>
          <w:szCs w:val="24"/>
        </w:rPr>
        <w:t>er un traballo, que o contrario. Tamén os traballadores e traballadoras que se manteñen no posto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794409">
        <w:rPr>
          <w:rFonts w:ascii="Arial" w:hAnsi="Arial" w:cs="Arial"/>
          <w:sz w:val="24"/>
          <w:szCs w:val="24"/>
        </w:rPr>
        <w:t>de traballo viron m</w:t>
      </w:r>
      <w:r w:rsidR="00E0776D">
        <w:rPr>
          <w:rFonts w:ascii="Arial" w:hAnsi="Arial" w:cs="Arial"/>
          <w:sz w:val="24"/>
          <w:szCs w:val="24"/>
        </w:rPr>
        <w:t>ingu</w:t>
      </w:r>
      <w:r w:rsidR="00794409">
        <w:rPr>
          <w:rFonts w:ascii="Arial" w:hAnsi="Arial" w:cs="Arial"/>
          <w:sz w:val="24"/>
          <w:szCs w:val="24"/>
        </w:rPr>
        <w:t>ados, na maioría dos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794409">
        <w:rPr>
          <w:rFonts w:ascii="Arial" w:hAnsi="Arial" w:cs="Arial"/>
          <w:sz w:val="24"/>
          <w:szCs w:val="24"/>
        </w:rPr>
        <w:t>casos, os seus ingresos: baixada ou conxelación salarial, a inflación que m</w:t>
      </w:r>
      <w:r w:rsidR="00E0776D">
        <w:rPr>
          <w:rFonts w:ascii="Arial" w:hAnsi="Arial" w:cs="Arial"/>
          <w:sz w:val="24"/>
          <w:szCs w:val="24"/>
        </w:rPr>
        <w:t>inguou</w:t>
      </w:r>
      <w:r w:rsidR="00794409">
        <w:rPr>
          <w:rFonts w:ascii="Arial" w:hAnsi="Arial" w:cs="Arial"/>
          <w:sz w:val="24"/>
          <w:szCs w:val="24"/>
        </w:rPr>
        <w:t xml:space="preserve"> o poder ad</w:t>
      </w:r>
      <w:r w:rsidR="00B06F86">
        <w:rPr>
          <w:rFonts w:ascii="Arial" w:hAnsi="Arial" w:cs="Arial"/>
          <w:sz w:val="24"/>
          <w:szCs w:val="24"/>
        </w:rPr>
        <w:t>quisitivo, intensificouse o traballo…</w:t>
      </w:r>
    </w:p>
    <w:p w:rsidR="00D04C22" w:rsidRDefault="00D04C22" w:rsidP="00611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Paralelo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isto, reduciuse a capacidade distributiva do </w:t>
      </w:r>
      <w:r w:rsidR="00E0776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stado. Primeiro unha política fiscal que reduciu os ingresos: comezaron pola redución da progresividade dos impostos</w:t>
      </w:r>
      <w:r w:rsidR="00E0776D">
        <w:rPr>
          <w:rFonts w:ascii="Arial" w:hAnsi="Arial" w:cs="Arial"/>
          <w:sz w:val="24"/>
          <w:szCs w:val="24"/>
        </w:rPr>
        <w:t>. L</w:t>
      </w:r>
      <w:r>
        <w:rPr>
          <w:rFonts w:ascii="Arial" w:hAnsi="Arial" w:cs="Arial"/>
          <w:sz w:val="24"/>
          <w:szCs w:val="24"/>
        </w:rPr>
        <w:t>ogo</w:t>
      </w:r>
      <w:r w:rsidR="00E077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trasladaron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unha parte dos gravames sobre o capital cara </w:t>
      </w:r>
      <w:r w:rsidR="00E0776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o traballo; incrementaron os impostos sobre o consumo; eliminaron ou reduciron os impostos patrimoniais </w:t>
      </w:r>
      <w:r w:rsidR="00E077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patrimonio, sucesións…)</w:t>
      </w:r>
      <w:r w:rsidR="00E077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sen esquecer a pouca implicación para atallar </w:t>
      </w:r>
      <w:r w:rsidR="00E0776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fraude fiscal. </w:t>
      </w:r>
      <w:r w:rsidR="00E0776D">
        <w:rPr>
          <w:rFonts w:ascii="Arial" w:hAnsi="Arial" w:cs="Arial"/>
          <w:sz w:val="24"/>
          <w:szCs w:val="24"/>
        </w:rPr>
        <w:t>Despois</w:t>
      </w:r>
      <w:r>
        <w:rPr>
          <w:rFonts w:ascii="Arial" w:hAnsi="Arial" w:cs="Arial"/>
          <w:sz w:val="24"/>
          <w:szCs w:val="24"/>
        </w:rPr>
        <w:t xml:space="preserve"> de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reducir os ingresos</w:t>
      </w:r>
      <w:r w:rsidR="00E077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hai que reducir os gastos para manter o déficit público nos parámetros que ordena Bruxelas.</w:t>
      </w:r>
    </w:p>
    <w:p w:rsidR="0026753F" w:rsidRDefault="00D04C22" w:rsidP="00611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Diminúen os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794409">
        <w:rPr>
          <w:rFonts w:ascii="Arial" w:hAnsi="Arial" w:cs="Arial"/>
          <w:sz w:val="24"/>
          <w:szCs w:val="24"/>
        </w:rPr>
        <w:t>ingresos</w:t>
      </w:r>
      <w:r>
        <w:rPr>
          <w:rFonts w:ascii="Arial" w:hAnsi="Arial" w:cs="Arial"/>
          <w:sz w:val="24"/>
          <w:szCs w:val="24"/>
        </w:rPr>
        <w:t xml:space="preserve"> e</w:t>
      </w:r>
      <w:r w:rsidR="00E077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</w:t>
      </w:r>
      <w:r w:rsidR="00E0776D">
        <w:rPr>
          <w:rFonts w:ascii="Arial" w:hAnsi="Arial" w:cs="Arial"/>
          <w:sz w:val="24"/>
          <w:szCs w:val="24"/>
        </w:rPr>
        <w:t>isto,</w:t>
      </w:r>
      <w:r>
        <w:rPr>
          <w:rFonts w:ascii="Arial" w:hAnsi="Arial" w:cs="Arial"/>
          <w:sz w:val="24"/>
          <w:szCs w:val="24"/>
        </w:rPr>
        <w:t xml:space="preserve"> a capacidade distributiva do </w:t>
      </w:r>
      <w:r w:rsidR="00E0776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stado, e</w:t>
      </w:r>
      <w:r w:rsidR="00267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polo tanto aumentan as desigualdade</w:t>
      </w:r>
      <w:r w:rsidR="00E077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E86D44" w:rsidRDefault="0026753F" w:rsidP="00611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redución do gasto público afectou especialmente </w:t>
      </w:r>
      <w:r w:rsidR="00E0776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os gastos socias: reduciuse o gasto en sanidade </w:t>
      </w:r>
      <w:r w:rsidR="00E077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menos persoal, privatizacións de determinados servizos,</w:t>
      </w:r>
      <w:r w:rsidR="007C1B67">
        <w:rPr>
          <w:rFonts w:ascii="Arial" w:hAnsi="Arial" w:cs="Arial"/>
          <w:sz w:val="24"/>
          <w:szCs w:val="24"/>
        </w:rPr>
        <w:t xml:space="preserve"> </w:t>
      </w:r>
      <w:r w:rsidR="0068347B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pag</w:t>
      </w:r>
      <w:r w:rsidR="00E0776D">
        <w:rPr>
          <w:rFonts w:ascii="Arial" w:hAnsi="Arial" w:cs="Arial"/>
          <w:sz w:val="24"/>
          <w:szCs w:val="24"/>
        </w:rPr>
        <w:t>amento</w:t>
      </w:r>
      <w:r>
        <w:rPr>
          <w:rFonts w:ascii="Arial" w:hAnsi="Arial" w:cs="Arial"/>
          <w:sz w:val="24"/>
          <w:szCs w:val="24"/>
        </w:rPr>
        <w:t xml:space="preserve"> </w:t>
      </w:r>
      <w:r w:rsidR="0068347B">
        <w:rPr>
          <w:rFonts w:ascii="Arial" w:hAnsi="Arial" w:cs="Arial"/>
          <w:sz w:val="24"/>
          <w:szCs w:val="24"/>
        </w:rPr>
        <w:t>farmacéutico</w:t>
      </w:r>
      <w:r w:rsidR="00E0776D">
        <w:rPr>
          <w:rFonts w:ascii="Arial" w:hAnsi="Arial" w:cs="Arial"/>
          <w:sz w:val="24"/>
          <w:szCs w:val="24"/>
        </w:rPr>
        <w:t>.</w:t>
      </w:r>
      <w:r w:rsidR="0068347B">
        <w:rPr>
          <w:rFonts w:ascii="Arial" w:hAnsi="Arial" w:cs="Arial"/>
          <w:sz w:val="24"/>
          <w:szCs w:val="24"/>
        </w:rPr>
        <w:t>..); reducíronse as prestacións por desempr</w:t>
      </w:r>
      <w:r w:rsidR="00E0776D">
        <w:rPr>
          <w:rFonts w:ascii="Arial" w:hAnsi="Arial" w:cs="Arial"/>
          <w:sz w:val="24"/>
          <w:szCs w:val="24"/>
        </w:rPr>
        <w:t>ego, empobrecendo aínda máis o</w:t>
      </w:r>
      <w:r w:rsidR="0068347B">
        <w:rPr>
          <w:rFonts w:ascii="Arial" w:hAnsi="Arial" w:cs="Arial"/>
          <w:sz w:val="24"/>
          <w:szCs w:val="24"/>
        </w:rPr>
        <w:t>s parados e paradas; m</w:t>
      </w:r>
      <w:r w:rsidR="00E0776D">
        <w:rPr>
          <w:rFonts w:ascii="Arial" w:hAnsi="Arial" w:cs="Arial"/>
          <w:sz w:val="24"/>
          <w:szCs w:val="24"/>
        </w:rPr>
        <w:t>inguar</w:t>
      </w:r>
      <w:r w:rsidR="0068347B">
        <w:rPr>
          <w:rFonts w:ascii="Arial" w:hAnsi="Arial" w:cs="Arial"/>
          <w:sz w:val="24"/>
          <w:szCs w:val="24"/>
        </w:rPr>
        <w:t xml:space="preserve">on as axudas </w:t>
      </w:r>
      <w:r w:rsidR="00E0776D">
        <w:rPr>
          <w:rFonts w:ascii="Arial" w:hAnsi="Arial" w:cs="Arial"/>
          <w:sz w:val="24"/>
          <w:szCs w:val="24"/>
        </w:rPr>
        <w:t>á dependencia…. Paralelamente</w:t>
      </w:r>
      <w:r w:rsidR="0068347B">
        <w:rPr>
          <w:rFonts w:ascii="Arial" w:hAnsi="Arial" w:cs="Arial"/>
          <w:sz w:val="24"/>
          <w:szCs w:val="24"/>
        </w:rPr>
        <w:t xml:space="preserve"> a isto</w:t>
      </w:r>
      <w:r w:rsidR="00E0776D">
        <w:rPr>
          <w:rFonts w:ascii="Arial" w:hAnsi="Arial" w:cs="Arial"/>
          <w:sz w:val="24"/>
          <w:szCs w:val="24"/>
        </w:rPr>
        <w:t xml:space="preserve">, </w:t>
      </w:r>
      <w:r w:rsidR="000C1E58">
        <w:rPr>
          <w:rFonts w:ascii="Arial" w:hAnsi="Arial" w:cs="Arial"/>
          <w:sz w:val="24"/>
          <w:szCs w:val="24"/>
        </w:rPr>
        <w:t>increment</w:t>
      </w:r>
      <w:r w:rsidR="00E0776D">
        <w:rPr>
          <w:rFonts w:ascii="Arial" w:hAnsi="Arial" w:cs="Arial"/>
          <w:sz w:val="24"/>
          <w:szCs w:val="24"/>
        </w:rPr>
        <w:t>ouse</w:t>
      </w:r>
      <w:r w:rsidR="0068347B">
        <w:rPr>
          <w:rFonts w:ascii="Arial" w:hAnsi="Arial" w:cs="Arial"/>
          <w:sz w:val="24"/>
          <w:szCs w:val="24"/>
        </w:rPr>
        <w:t xml:space="preserve"> abusivamente </w:t>
      </w:r>
      <w:r w:rsidR="009A19D5">
        <w:rPr>
          <w:rFonts w:ascii="Arial" w:hAnsi="Arial" w:cs="Arial"/>
          <w:sz w:val="24"/>
          <w:szCs w:val="24"/>
        </w:rPr>
        <w:t xml:space="preserve">o prezo </w:t>
      </w:r>
      <w:r w:rsidR="000C1E58">
        <w:rPr>
          <w:rFonts w:ascii="Arial" w:hAnsi="Arial" w:cs="Arial"/>
          <w:sz w:val="24"/>
          <w:szCs w:val="24"/>
        </w:rPr>
        <w:t xml:space="preserve">de determinados bens e servizos como </w:t>
      </w:r>
      <w:r w:rsidR="00280FAE">
        <w:rPr>
          <w:rFonts w:ascii="Arial" w:hAnsi="Arial" w:cs="Arial"/>
          <w:sz w:val="24"/>
          <w:szCs w:val="24"/>
        </w:rPr>
        <w:t>os enerxéticos</w:t>
      </w:r>
      <w:r w:rsidR="00E0776D">
        <w:rPr>
          <w:rFonts w:ascii="Arial" w:hAnsi="Arial" w:cs="Arial"/>
          <w:sz w:val="24"/>
          <w:szCs w:val="24"/>
        </w:rPr>
        <w:t>, etc.,</w:t>
      </w:r>
      <w:r w:rsidR="00280FAE">
        <w:rPr>
          <w:rFonts w:ascii="Arial" w:hAnsi="Arial" w:cs="Arial"/>
          <w:sz w:val="24"/>
          <w:szCs w:val="24"/>
        </w:rPr>
        <w:t xml:space="preserve"> </w:t>
      </w:r>
      <w:r w:rsidR="007C1B67">
        <w:rPr>
          <w:rFonts w:ascii="Arial" w:hAnsi="Arial" w:cs="Arial"/>
          <w:sz w:val="24"/>
          <w:szCs w:val="24"/>
        </w:rPr>
        <w:t>o que levou a</w:t>
      </w:r>
      <w:r w:rsidR="00280FAE">
        <w:rPr>
          <w:rFonts w:ascii="Arial" w:hAnsi="Arial" w:cs="Arial"/>
          <w:sz w:val="24"/>
          <w:szCs w:val="24"/>
        </w:rPr>
        <w:t xml:space="preserve"> un empobrecemento xeneralizado da </w:t>
      </w:r>
      <w:r w:rsidR="007C1B67">
        <w:rPr>
          <w:rFonts w:ascii="Arial" w:hAnsi="Arial" w:cs="Arial"/>
          <w:sz w:val="24"/>
          <w:szCs w:val="24"/>
        </w:rPr>
        <w:t xml:space="preserve">maioría </w:t>
      </w:r>
      <w:r w:rsidR="00EC47A7">
        <w:rPr>
          <w:rFonts w:ascii="Arial" w:hAnsi="Arial" w:cs="Arial"/>
          <w:sz w:val="24"/>
          <w:szCs w:val="24"/>
        </w:rPr>
        <w:t xml:space="preserve">da </w:t>
      </w:r>
      <w:r w:rsidR="00280FAE">
        <w:rPr>
          <w:rFonts w:ascii="Arial" w:hAnsi="Arial" w:cs="Arial"/>
          <w:sz w:val="24"/>
          <w:szCs w:val="24"/>
        </w:rPr>
        <w:t xml:space="preserve">poboación, pero especialmente </w:t>
      </w:r>
      <w:r w:rsidR="009A19D5">
        <w:rPr>
          <w:rFonts w:ascii="Arial" w:hAnsi="Arial" w:cs="Arial"/>
          <w:sz w:val="24"/>
          <w:szCs w:val="24"/>
        </w:rPr>
        <w:t>d</w:t>
      </w:r>
      <w:r w:rsidR="00E0776D">
        <w:rPr>
          <w:rFonts w:ascii="Arial" w:hAnsi="Arial" w:cs="Arial"/>
          <w:sz w:val="24"/>
          <w:szCs w:val="24"/>
        </w:rPr>
        <w:t>as persoas máis precarias</w:t>
      </w:r>
      <w:r w:rsidR="00280FAE">
        <w:rPr>
          <w:rFonts w:ascii="Arial" w:hAnsi="Arial" w:cs="Arial"/>
          <w:sz w:val="24"/>
          <w:szCs w:val="24"/>
        </w:rPr>
        <w:t>.</w:t>
      </w:r>
    </w:p>
    <w:p w:rsidR="00794409" w:rsidRDefault="00794409" w:rsidP="00611D6A">
      <w:pPr>
        <w:jc w:val="both"/>
        <w:rPr>
          <w:rFonts w:ascii="Arial" w:hAnsi="Arial" w:cs="Arial"/>
          <w:sz w:val="24"/>
          <w:szCs w:val="24"/>
        </w:rPr>
      </w:pPr>
    </w:p>
    <w:p w:rsidR="00794409" w:rsidRDefault="00794409" w:rsidP="00611D6A">
      <w:pPr>
        <w:jc w:val="both"/>
        <w:rPr>
          <w:rFonts w:ascii="Arial" w:hAnsi="Arial" w:cs="Arial"/>
          <w:sz w:val="24"/>
          <w:szCs w:val="24"/>
        </w:rPr>
      </w:pPr>
    </w:p>
    <w:p w:rsidR="00280FAE" w:rsidRDefault="00280FAE" w:rsidP="00611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principio, é difícil cuantificar como afecta a redución do estado do benestar á clase traballadora, </w:t>
      </w:r>
      <w:r w:rsidR="00E0776D"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z w:val="24"/>
          <w:szCs w:val="24"/>
        </w:rPr>
        <w:t xml:space="preserve"> o que si se pode cuanti</w:t>
      </w:r>
      <w:r w:rsidR="00E0776D">
        <w:rPr>
          <w:rFonts w:ascii="Arial" w:hAnsi="Arial" w:cs="Arial"/>
          <w:sz w:val="24"/>
          <w:szCs w:val="24"/>
        </w:rPr>
        <w:t>ficar é a redución dos ingresos</w:t>
      </w:r>
      <w:r w:rsidR="00534A62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 xml:space="preserve">ara iso temos os datos da </w:t>
      </w:r>
      <w:r w:rsidR="00E0776D">
        <w:rPr>
          <w:rFonts w:ascii="Arial" w:hAnsi="Arial" w:cs="Arial"/>
          <w:sz w:val="24"/>
          <w:szCs w:val="24"/>
        </w:rPr>
        <w:t>Axencia T</w:t>
      </w:r>
      <w:r>
        <w:rPr>
          <w:rFonts w:ascii="Arial" w:hAnsi="Arial" w:cs="Arial"/>
          <w:sz w:val="24"/>
          <w:szCs w:val="24"/>
        </w:rPr>
        <w:t>ributaria, que nos amosan unha caída xeneralizada dos salarios dos traballadores</w:t>
      </w:r>
      <w:r w:rsidR="00534A62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e un medre consider</w:t>
      </w:r>
      <w:r w:rsidR="00534A62">
        <w:rPr>
          <w:rFonts w:ascii="Arial" w:hAnsi="Arial" w:cs="Arial"/>
          <w:sz w:val="24"/>
          <w:szCs w:val="24"/>
        </w:rPr>
        <w:t>ábel</w:t>
      </w:r>
      <w:r>
        <w:rPr>
          <w:rFonts w:ascii="Arial" w:hAnsi="Arial" w:cs="Arial"/>
          <w:sz w:val="24"/>
          <w:szCs w:val="24"/>
        </w:rPr>
        <w:t xml:space="preserve"> da desigualdade entre </w:t>
      </w:r>
      <w:r w:rsidR="00534A62">
        <w:rPr>
          <w:rFonts w:ascii="Arial" w:hAnsi="Arial" w:cs="Arial"/>
          <w:sz w:val="24"/>
          <w:szCs w:val="24"/>
        </w:rPr>
        <w:t>estes/as.</w:t>
      </w:r>
    </w:p>
    <w:p w:rsidR="00C115C2" w:rsidRDefault="00C115C2" w:rsidP="00C1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Asalariados/as e salario medio segundo tramos.</w:t>
      </w:r>
    </w:p>
    <w:tbl>
      <w:tblPr>
        <w:tblStyle w:val="Sombreadoclaro-nfasis11"/>
        <w:tblW w:w="5000" w:type="pct"/>
        <w:tblLook w:val="04A0"/>
      </w:tblPr>
      <w:tblGrid>
        <w:gridCol w:w="1631"/>
        <w:gridCol w:w="1518"/>
        <w:gridCol w:w="941"/>
        <w:gridCol w:w="1518"/>
        <w:gridCol w:w="971"/>
        <w:gridCol w:w="1518"/>
        <w:gridCol w:w="957"/>
      </w:tblGrid>
      <w:tr w:rsidR="00C115C2" w:rsidRPr="00C115C2" w:rsidTr="00D215FA">
        <w:trPr>
          <w:cnfStyle w:val="100000000000"/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 xml:space="preserve">Evolución 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15C2" w:rsidRPr="00C115C2" w:rsidTr="00D215FA">
        <w:trPr>
          <w:cnfStyle w:val="000000100000"/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2014/</w:t>
            </w:r>
          </w:p>
          <w:p w:rsidR="00C115C2" w:rsidRPr="00C115C2" w:rsidRDefault="00C115C2" w:rsidP="00D215F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2014/</w:t>
            </w:r>
          </w:p>
          <w:p w:rsidR="00C115C2" w:rsidRPr="00C115C2" w:rsidRDefault="00C115C2" w:rsidP="00D215FA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C115C2" w:rsidRPr="00C115C2" w:rsidTr="00D215FA">
        <w:trPr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 xml:space="preserve">Tramos de </w:t>
            </w:r>
          </w:p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salario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Asalariad</w:t>
            </w:r>
            <w:r w:rsidR="00534A62">
              <w:rPr>
                <w:rFonts w:ascii="Calibri" w:eastAsia="Times New Roman" w:hAnsi="Calibri" w:cs="Times New Roman"/>
                <w:color w:val="000000"/>
              </w:rPr>
              <w:t>os/as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 xml:space="preserve">Salario </w:t>
            </w:r>
          </w:p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 xml:space="preserve">Medio 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Asalariados</w:t>
            </w:r>
            <w:r w:rsidR="00534A62">
              <w:rPr>
                <w:rFonts w:ascii="Calibri" w:eastAsia="Times New Roman" w:hAnsi="Calibri" w:cs="Times New Roman"/>
                <w:color w:val="000000"/>
              </w:rPr>
              <w:t>/as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 xml:space="preserve">Salario </w:t>
            </w:r>
          </w:p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 xml:space="preserve">Medio 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Asalariados</w:t>
            </w:r>
            <w:r w:rsidR="00534A62">
              <w:rPr>
                <w:rFonts w:ascii="Calibri" w:eastAsia="Times New Roman" w:hAnsi="Calibri" w:cs="Times New Roman"/>
                <w:color w:val="000000"/>
              </w:rPr>
              <w:t>/as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 xml:space="preserve">Salario </w:t>
            </w:r>
          </w:p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 xml:space="preserve">Medio </w:t>
            </w:r>
          </w:p>
        </w:tc>
      </w:tr>
      <w:tr w:rsidR="00C115C2" w:rsidRPr="00C115C2" w:rsidTr="00D215FA">
        <w:trPr>
          <w:cnfStyle w:val="000000100000"/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1.092.731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18.217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968376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17.729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-124.355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-488</w:t>
            </w:r>
          </w:p>
        </w:tc>
      </w:tr>
      <w:tr w:rsidR="00C115C2" w:rsidRPr="00C115C2" w:rsidTr="00D215FA">
        <w:trPr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0 a 0,5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158.709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1.947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177.314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1.883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18.605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-64</w:t>
            </w:r>
          </w:p>
        </w:tc>
      </w:tr>
      <w:tr w:rsidR="00C115C2" w:rsidRPr="00C115C2" w:rsidTr="00D215FA">
        <w:trPr>
          <w:cnfStyle w:val="000000100000"/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0,5 a 1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131.733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6.597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123.402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6.800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-8.331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</w:tr>
      <w:tr w:rsidR="00C115C2" w:rsidRPr="00C115C2" w:rsidTr="00D215FA">
        <w:trPr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1 a 1,5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159.154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11.055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130.974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11.398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-28.180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</w:tr>
      <w:tr w:rsidR="00C115C2" w:rsidRPr="00C115C2" w:rsidTr="00D215FA">
        <w:trPr>
          <w:cnfStyle w:val="000000100000"/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1,5 a 2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206.880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15.305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160.139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15.843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-46.741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</w:tr>
      <w:tr w:rsidR="00C115C2" w:rsidRPr="00C115C2" w:rsidTr="00D215FA">
        <w:trPr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2 a 2,5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131.141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19.443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115.696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20.123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-15.445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</w:tr>
      <w:tr w:rsidR="00C115C2" w:rsidRPr="00C115C2" w:rsidTr="00D215FA">
        <w:trPr>
          <w:cnfStyle w:val="000000100000"/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2,5 a 3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82.188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23.841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71.418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24.751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-10.770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910</w:t>
            </w:r>
          </w:p>
        </w:tc>
      </w:tr>
      <w:tr w:rsidR="00C115C2" w:rsidRPr="00C115C2" w:rsidTr="00D215FA">
        <w:trPr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3 a 3,5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57.605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28.317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57.102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29.258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-503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941</w:t>
            </w:r>
          </w:p>
        </w:tc>
      </w:tr>
      <w:tr w:rsidR="00C115C2" w:rsidRPr="00C115C2" w:rsidTr="00D215FA">
        <w:trPr>
          <w:cnfStyle w:val="000000100000"/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3,5 a 4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42.870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32.624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39.357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33.737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-3.513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1.113</w:t>
            </w:r>
          </w:p>
        </w:tc>
      </w:tr>
      <w:tr w:rsidR="00C115C2" w:rsidRPr="00C115C2" w:rsidTr="00D215FA">
        <w:trPr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4 a 4,5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34.144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37.074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30.568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38.200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-3.576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1.126</w:t>
            </w:r>
          </w:p>
        </w:tc>
      </w:tr>
      <w:tr w:rsidR="00C115C2" w:rsidRPr="00C115C2" w:rsidTr="00D215FA">
        <w:trPr>
          <w:cnfStyle w:val="000000100000"/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4,5 a 5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27.641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41.335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17.084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42.717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-10.557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1.382</w:t>
            </w:r>
          </w:p>
        </w:tc>
      </w:tr>
      <w:tr w:rsidR="00C115C2" w:rsidRPr="00C115C2" w:rsidTr="00D215FA">
        <w:trPr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5 a 7,5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42.838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51.579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33.149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53.801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-9.689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2.222</w:t>
            </w:r>
          </w:p>
        </w:tc>
      </w:tr>
      <w:tr w:rsidR="00C115C2" w:rsidRPr="00C115C2" w:rsidTr="00D215FA">
        <w:trPr>
          <w:cnfStyle w:val="000000100000"/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De 7,5 a 10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11.459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74.444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8.167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76.378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-3.292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1.934</w:t>
            </w:r>
          </w:p>
        </w:tc>
      </w:tr>
      <w:tr w:rsidR="00C115C2" w:rsidRPr="00C115C2" w:rsidTr="00D215FA">
        <w:trPr>
          <w:trHeight w:val="300"/>
        </w:trPr>
        <w:tc>
          <w:tcPr>
            <w:cnfStyle w:val="001000000000"/>
            <w:tcW w:w="997" w:type="pct"/>
            <w:noWrap/>
            <w:hideMark/>
          </w:tcPr>
          <w:p w:rsidR="00C115C2" w:rsidRPr="00C115C2" w:rsidRDefault="00C115C2" w:rsidP="00D215FA">
            <w:pPr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Máis de 10 SMI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6.068</w:t>
            </w:r>
          </w:p>
        </w:tc>
        <w:tc>
          <w:tcPr>
            <w:tcW w:w="621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129.633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4005</w:t>
            </w:r>
          </w:p>
        </w:tc>
        <w:tc>
          <w:tcPr>
            <w:tcW w:w="68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141375</w:t>
            </w:r>
          </w:p>
        </w:tc>
        <w:tc>
          <w:tcPr>
            <w:tcW w:w="685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-2.063</w:t>
            </w:r>
          </w:p>
        </w:tc>
        <w:tc>
          <w:tcPr>
            <w:tcW w:w="643" w:type="pct"/>
            <w:noWrap/>
            <w:hideMark/>
          </w:tcPr>
          <w:p w:rsidR="00C115C2" w:rsidRPr="00C115C2" w:rsidRDefault="00C115C2" w:rsidP="00D215FA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C115C2">
              <w:rPr>
                <w:rFonts w:ascii="Calibri" w:eastAsia="Times New Roman" w:hAnsi="Calibri" w:cs="Times New Roman"/>
                <w:color w:val="000000"/>
              </w:rPr>
              <w:t>11.742</w:t>
            </w:r>
          </w:p>
        </w:tc>
      </w:tr>
    </w:tbl>
    <w:p w:rsidR="00C115C2" w:rsidRDefault="00C115C2" w:rsidP="00C1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Fonte: </w:t>
      </w:r>
      <w:r w:rsidR="00534A6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laboración propia a partir dos datos da </w:t>
      </w:r>
      <w:r w:rsidR="00534A6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xencia </w:t>
      </w:r>
      <w:r w:rsidR="00534A6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ributaria.</w:t>
      </w:r>
    </w:p>
    <w:p w:rsidR="00C115C2" w:rsidRDefault="00C115C2" w:rsidP="00C115C2">
      <w:pPr>
        <w:rPr>
          <w:rFonts w:ascii="Arial" w:hAnsi="Arial" w:cs="Arial"/>
          <w:sz w:val="24"/>
          <w:szCs w:val="24"/>
        </w:rPr>
      </w:pPr>
      <w:r w:rsidRPr="00A900B5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667375" cy="34290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15C2" w:rsidRDefault="00C115C2" w:rsidP="00C115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gráfico é moi ilustrativo</w:t>
      </w:r>
      <w:r w:rsidR="00534A62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 único grupo que medra claramente son os asalariados/as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primeiro intervalo de ingreso </w:t>
      </w:r>
      <w:r w:rsidR="00E077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menos da metade do SMI),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salario medio dos</w:t>
      </w:r>
      <w:r w:rsidR="00534A62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de ingresos superiores a 10 veces o SMI. No medio, fortes descensos dos asalariados/as,</w:t>
      </w:r>
      <w:r w:rsidR="00534A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escaso medre dos ingresos.</w:t>
      </w:r>
    </w:p>
    <w:p w:rsidR="00C115C2" w:rsidRDefault="00C115C2" w:rsidP="00C115C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18,4% dos asalariados/as</w:t>
      </w:r>
      <w:r w:rsidR="00534A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(177.314)</w:t>
      </w:r>
      <w:r w:rsidR="00534A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2014 tiv</w:t>
      </w:r>
      <w:r w:rsidR="00534A6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uns ingresos inferiores á meta</w:t>
      </w:r>
      <w:r w:rsidR="00534A62">
        <w:rPr>
          <w:rFonts w:ascii="Arial" w:hAnsi="Arial" w:cs="Arial"/>
          <w:sz w:val="24"/>
          <w:szCs w:val="24"/>
        </w:rPr>
        <w:t>de do SMI. En 2009 eran o 14,5%; p</w:t>
      </w:r>
      <w:r>
        <w:rPr>
          <w:rFonts w:ascii="Arial" w:hAnsi="Arial" w:cs="Arial"/>
          <w:sz w:val="24"/>
          <w:szCs w:val="24"/>
        </w:rPr>
        <w:t>reto de 4 puntos porcentuais máis. Isto supón uns ingresos iguais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inferiores a 1.883 euros anuais.</w:t>
      </w:r>
    </w:p>
    <w:p w:rsidR="00C115C2" w:rsidRDefault="00C115C2" w:rsidP="00C115C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15C2" w:rsidRDefault="00C115C2" w:rsidP="00C115C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Houbo un 12,7%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cuxos ingreso</w:t>
      </w:r>
      <w:r w:rsidR="00501A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 situaron entre a metade e o SMI; o que equivale, como máximo a 6.800 euros anuais.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Sumando estes</w:t>
      </w:r>
      <w:r w:rsidR="00E0776D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grupo anterior, o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31%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501AD8">
        <w:rPr>
          <w:rFonts w:ascii="Arial" w:hAnsi="Arial" w:cs="Arial"/>
          <w:sz w:val="24"/>
          <w:szCs w:val="24"/>
        </w:rPr>
        <w:t>dos asalariados/as acadou</w:t>
      </w:r>
      <w:r>
        <w:rPr>
          <w:rFonts w:ascii="Arial" w:hAnsi="Arial" w:cs="Arial"/>
          <w:sz w:val="24"/>
          <w:szCs w:val="24"/>
        </w:rPr>
        <w:t xml:space="preserve">, como máximo, o SMI no ano 2014. </w:t>
      </w:r>
    </w:p>
    <w:p w:rsidR="00C115C2" w:rsidRPr="00C017C2" w:rsidRDefault="00C115C2" w:rsidP="00C115C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15C2" w:rsidRDefault="00C115C2" w:rsidP="00C115C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extremo oposto da táboa, sitúanse os</w:t>
      </w:r>
      <w:r w:rsidR="00501AD8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que percibiron máis de 10 veces o SMI, o que equivale a uns ingresos anu</w:t>
      </w:r>
      <w:r w:rsidR="00501AD8">
        <w:rPr>
          <w:rFonts w:ascii="Arial" w:hAnsi="Arial" w:cs="Arial"/>
          <w:sz w:val="24"/>
          <w:szCs w:val="24"/>
        </w:rPr>
        <w:t>ais superiores a 141.375 euros. N</w:t>
      </w:r>
      <w:r>
        <w:rPr>
          <w:rFonts w:ascii="Arial" w:hAnsi="Arial" w:cs="Arial"/>
          <w:sz w:val="24"/>
          <w:szCs w:val="24"/>
        </w:rPr>
        <w:t>o ano 2014 foron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4.005 asalariados</w:t>
      </w:r>
      <w:r w:rsidR="00501AD8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>, o 0,4% do total.</w:t>
      </w:r>
    </w:p>
    <w:p w:rsidR="00C115C2" w:rsidRPr="00C017C2" w:rsidRDefault="00C115C2" w:rsidP="00C115C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15C2" w:rsidRPr="00FF0C86" w:rsidRDefault="00C115C2" w:rsidP="00C115C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salario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medio dun asalariado ou asalariada da parte máis alta da táboa, (máis de 10 veces o SMI), equivale a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75 da parte máis baixa (menos da metade do SMI). No ano 2009, a equivalencia era de 1 a 66.</w:t>
      </w:r>
    </w:p>
    <w:p w:rsidR="00C115C2" w:rsidRPr="00ED1716" w:rsidRDefault="00C115C2" w:rsidP="00C115C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15C2" w:rsidRDefault="00C115C2" w:rsidP="00C115C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Estas fortes diferenzas explican que o 61% dos asalariados/as en G</w:t>
      </w:r>
      <w:r w:rsidR="00E0776D">
        <w:rPr>
          <w:rFonts w:ascii="Arial" w:hAnsi="Arial" w:cs="Arial"/>
          <w:sz w:val="24"/>
          <w:szCs w:val="24"/>
        </w:rPr>
        <w:t>aliza</w:t>
      </w:r>
      <w:r>
        <w:rPr>
          <w:rFonts w:ascii="Arial" w:hAnsi="Arial" w:cs="Arial"/>
          <w:sz w:val="24"/>
          <w:szCs w:val="24"/>
        </w:rPr>
        <w:t xml:space="preserve"> non acada</w:t>
      </w:r>
      <w:r w:rsidR="0037759D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o salario medio (17.729 euros) durante 2014. </w:t>
      </w:r>
    </w:p>
    <w:p w:rsidR="00C115C2" w:rsidRPr="00FF0C86" w:rsidRDefault="00C115C2" w:rsidP="00C115C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15C2" w:rsidRDefault="00C115C2" w:rsidP="00C115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forte desigualdade </w:t>
      </w:r>
      <w:r w:rsidR="00501AD8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causa e a súa vez consecuencia do forte debilitamento do mundo do traballo. O descenso dos salarios da maioría da poboación asalariada en temos reais, xunto co descenso do número de asalariados</w:t>
      </w:r>
      <w:r w:rsidR="006424B6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>, explica que as rendas do traballo, como porcentaxe das rendas totais en G</w:t>
      </w:r>
      <w:r w:rsidR="00E0776D">
        <w:rPr>
          <w:rFonts w:ascii="Arial" w:hAnsi="Arial" w:cs="Arial"/>
          <w:sz w:val="24"/>
          <w:szCs w:val="24"/>
        </w:rPr>
        <w:t>aliza</w:t>
      </w:r>
      <w:r>
        <w:rPr>
          <w:rFonts w:ascii="Arial" w:hAnsi="Arial" w:cs="Arial"/>
          <w:sz w:val="24"/>
          <w:szCs w:val="24"/>
        </w:rPr>
        <w:t>,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descende</w:t>
      </w:r>
      <w:r w:rsidR="006424B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n de maneira significat</w:t>
      </w:r>
      <w:r w:rsidR="006424B6">
        <w:rPr>
          <w:rFonts w:ascii="Arial" w:hAnsi="Arial" w:cs="Arial"/>
          <w:sz w:val="24"/>
          <w:szCs w:val="24"/>
        </w:rPr>
        <w:t>iva durante este período. N</w:t>
      </w:r>
      <w:r>
        <w:rPr>
          <w:rFonts w:ascii="Arial" w:hAnsi="Arial" w:cs="Arial"/>
          <w:sz w:val="24"/>
          <w:szCs w:val="24"/>
        </w:rPr>
        <w:t>o ano 2009, repres</w:t>
      </w:r>
      <w:r w:rsidR="006424B6">
        <w:rPr>
          <w:rFonts w:ascii="Arial" w:hAnsi="Arial" w:cs="Arial"/>
          <w:sz w:val="24"/>
          <w:szCs w:val="24"/>
        </w:rPr>
        <w:t>entaban o 48% das rendas totais;</w:t>
      </w:r>
      <w:r>
        <w:rPr>
          <w:rFonts w:ascii="Arial" w:hAnsi="Arial" w:cs="Arial"/>
          <w:sz w:val="24"/>
          <w:szCs w:val="24"/>
        </w:rPr>
        <w:t xml:space="preserve"> en 2014 representan o 44,6%. Este baixón das rendas do traballo foi a c</w:t>
      </w:r>
      <w:r w:rsidR="006424B6">
        <w:rPr>
          <w:rFonts w:ascii="Arial" w:hAnsi="Arial" w:cs="Arial"/>
          <w:sz w:val="24"/>
          <w:szCs w:val="24"/>
        </w:rPr>
        <w:t>usta das rendas do capital;</w:t>
      </w:r>
      <w:r>
        <w:rPr>
          <w:rFonts w:ascii="Arial" w:hAnsi="Arial" w:cs="Arial"/>
          <w:sz w:val="24"/>
          <w:szCs w:val="24"/>
        </w:rPr>
        <w:t xml:space="preserve"> estas rendas medraron significativamente, dun 43,6% no ano 2009 a un 45,5% en 2014.</w:t>
      </w:r>
    </w:p>
    <w:p w:rsidR="00C115C2" w:rsidRDefault="00C115C2" w:rsidP="00C115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vemos</w:t>
      </w:r>
      <w:r w:rsidR="006424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desigualdades de renda aumentaron de forma moi marcada neste período; </w:t>
      </w:r>
      <w:r w:rsidR="006424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 que hai que sumar o aumento das desigualdades dentro das rendas do traballo, que como vimos anteriormente medraron de forma exponencial</w:t>
      </w:r>
      <w:r w:rsidR="006424B6">
        <w:rPr>
          <w:rFonts w:ascii="Arial" w:hAnsi="Arial" w:cs="Arial"/>
          <w:sz w:val="24"/>
          <w:szCs w:val="24"/>
        </w:rPr>
        <w:t>. E abonda</w:t>
      </w:r>
      <w:r>
        <w:rPr>
          <w:rFonts w:ascii="Arial" w:hAnsi="Arial" w:cs="Arial"/>
          <w:sz w:val="24"/>
          <w:szCs w:val="24"/>
        </w:rPr>
        <w:t xml:space="preserve"> como exemplo o incremento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diferen</w:t>
      </w:r>
      <w:r w:rsidR="0047617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 entre os que menos gañan e os que máis, que pasou dun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xa avultado 66 a 1, a 75 a 1.</w:t>
      </w:r>
    </w:p>
    <w:p w:rsidR="00D94422" w:rsidRDefault="00D94422" w:rsidP="00C115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queremos esquecer que a maior desigualdade </w:t>
      </w:r>
      <w:r w:rsidR="006424B6">
        <w:rPr>
          <w:rFonts w:ascii="Arial" w:hAnsi="Arial" w:cs="Arial"/>
          <w:sz w:val="24"/>
          <w:szCs w:val="24"/>
        </w:rPr>
        <w:t>vén provocada pol</w:t>
      </w:r>
      <w:r>
        <w:rPr>
          <w:rFonts w:ascii="Arial" w:hAnsi="Arial" w:cs="Arial"/>
          <w:sz w:val="24"/>
          <w:szCs w:val="24"/>
        </w:rPr>
        <w:t>o desemprego.</w:t>
      </w:r>
    </w:p>
    <w:p w:rsidR="00280FAE" w:rsidRDefault="00280FAE" w:rsidP="00611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9390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rva todo este preámbulo para relativizar os datos estritamente numéricos do mercado de traball</w:t>
      </w:r>
      <w:r w:rsidR="009D06FD">
        <w:rPr>
          <w:rFonts w:ascii="Arial" w:hAnsi="Arial" w:cs="Arial"/>
          <w:sz w:val="24"/>
          <w:szCs w:val="24"/>
        </w:rPr>
        <w:t>o que se a</w:t>
      </w:r>
      <w:r w:rsidR="00A9390D">
        <w:rPr>
          <w:rFonts w:ascii="Arial" w:hAnsi="Arial" w:cs="Arial"/>
          <w:sz w:val="24"/>
          <w:szCs w:val="24"/>
        </w:rPr>
        <w:t>cheg</w:t>
      </w:r>
      <w:r w:rsidR="009D06FD">
        <w:rPr>
          <w:rFonts w:ascii="Arial" w:hAnsi="Arial" w:cs="Arial"/>
          <w:sz w:val="24"/>
          <w:szCs w:val="24"/>
        </w:rPr>
        <w:t>an a continuación. Cando falamos de afiliación á seguridade social, de ocupados</w:t>
      </w:r>
      <w:r w:rsidR="00A9390D">
        <w:rPr>
          <w:rFonts w:ascii="Arial" w:hAnsi="Arial" w:cs="Arial"/>
          <w:sz w:val="24"/>
          <w:szCs w:val="24"/>
        </w:rPr>
        <w:t xml:space="preserve">/as, etc., </w:t>
      </w:r>
      <w:r w:rsidR="009D06FD">
        <w:rPr>
          <w:rFonts w:ascii="Arial" w:hAnsi="Arial" w:cs="Arial"/>
          <w:sz w:val="24"/>
          <w:szCs w:val="24"/>
        </w:rPr>
        <w:t>non se analiza que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9D06FD">
        <w:rPr>
          <w:rFonts w:ascii="Arial" w:hAnsi="Arial" w:cs="Arial"/>
          <w:sz w:val="24"/>
          <w:szCs w:val="24"/>
        </w:rPr>
        <w:t>tipo de emprego se est</w:t>
      </w:r>
      <w:r w:rsidR="00A9390D">
        <w:rPr>
          <w:rFonts w:ascii="Arial" w:hAnsi="Arial" w:cs="Arial"/>
          <w:sz w:val="24"/>
          <w:szCs w:val="24"/>
        </w:rPr>
        <w:t>á</w:t>
      </w:r>
      <w:r w:rsidR="009D06FD">
        <w:rPr>
          <w:rFonts w:ascii="Arial" w:hAnsi="Arial" w:cs="Arial"/>
          <w:sz w:val="24"/>
          <w:szCs w:val="24"/>
        </w:rPr>
        <w:t xml:space="preserve"> creando, como son os salarios destes novos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9D06FD">
        <w:rPr>
          <w:rFonts w:ascii="Arial" w:hAnsi="Arial" w:cs="Arial"/>
          <w:sz w:val="24"/>
          <w:szCs w:val="24"/>
        </w:rPr>
        <w:t>traballadores</w:t>
      </w:r>
      <w:r w:rsidR="00A9390D">
        <w:rPr>
          <w:rFonts w:ascii="Arial" w:hAnsi="Arial" w:cs="Arial"/>
          <w:sz w:val="24"/>
          <w:szCs w:val="24"/>
        </w:rPr>
        <w:t>/as</w:t>
      </w:r>
      <w:r w:rsidR="009D06FD">
        <w:rPr>
          <w:rFonts w:ascii="Arial" w:hAnsi="Arial" w:cs="Arial"/>
          <w:sz w:val="24"/>
          <w:szCs w:val="24"/>
        </w:rPr>
        <w:t>, como afectou a de</w:t>
      </w:r>
      <w:r w:rsidR="00A9390D">
        <w:rPr>
          <w:rFonts w:ascii="Arial" w:hAnsi="Arial" w:cs="Arial"/>
          <w:sz w:val="24"/>
          <w:szCs w:val="24"/>
        </w:rPr>
        <w:t>preci</w:t>
      </w:r>
      <w:r w:rsidR="009D06FD">
        <w:rPr>
          <w:rFonts w:ascii="Arial" w:hAnsi="Arial" w:cs="Arial"/>
          <w:sz w:val="24"/>
          <w:szCs w:val="24"/>
        </w:rPr>
        <w:t xml:space="preserve">ación salarial </w:t>
      </w:r>
      <w:r w:rsidR="00A9390D">
        <w:rPr>
          <w:rFonts w:ascii="Arial" w:hAnsi="Arial" w:cs="Arial"/>
          <w:sz w:val="24"/>
          <w:szCs w:val="24"/>
        </w:rPr>
        <w:t>a</w:t>
      </w:r>
      <w:r w:rsidR="009D06FD">
        <w:rPr>
          <w:rFonts w:ascii="Arial" w:hAnsi="Arial" w:cs="Arial"/>
          <w:sz w:val="24"/>
          <w:szCs w:val="24"/>
        </w:rPr>
        <w:t>os má</w:t>
      </w:r>
      <w:r w:rsidR="00A9390D">
        <w:rPr>
          <w:rFonts w:ascii="Arial" w:hAnsi="Arial" w:cs="Arial"/>
          <w:sz w:val="24"/>
          <w:szCs w:val="24"/>
        </w:rPr>
        <w:t>is antigos… S</w:t>
      </w:r>
      <w:r w:rsidR="009D06FD">
        <w:rPr>
          <w:rFonts w:ascii="Arial" w:hAnsi="Arial" w:cs="Arial"/>
          <w:sz w:val="24"/>
          <w:szCs w:val="24"/>
        </w:rPr>
        <w:t>implemente se trata de persoas dadas de alta, ou baixa, que atoparon emprego, ou o perderon,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9D06FD">
        <w:rPr>
          <w:rFonts w:ascii="Arial" w:hAnsi="Arial" w:cs="Arial"/>
          <w:sz w:val="24"/>
          <w:szCs w:val="24"/>
        </w:rPr>
        <w:t>no período</w:t>
      </w:r>
      <w:r w:rsidR="009A19D5">
        <w:rPr>
          <w:rFonts w:ascii="Arial" w:hAnsi="Arial" w:cs="Arial"/>
          <w:sz w:val="24"/>
          <w:szCs w:val="24"/>
        </w:rPr>
        <w:t>;</w:t>
      </w:r>
      <w:r w:rsidR="009D06FD">
        <w:rPr>
          <w:rFonts w:ascii="Arial" w:hAnsi="Arial" w:cs="Arial"/>
          <w:sz w:val="24"/>
          <w:szCs w:val="24"/>
        </w:rPr>
        <w:t xml:space="preserve"> pero non sabemos nin a </w:t>
      </w:r>
      <w:r w:rsidR="00A9390D">
        <w:rPr>
          <w:rFonts w:ascii="Arial" w:hAnsi="Arial" w:cs="Arial"/>
          <w:sz w:val="24"/>
          <w:szCs w:val="24"/>
        </w:rPr>
        <w:t xml:space="preserve">súa </w:t>
      </w:r>
      <w:r w:rsidR="009D06FD">
        <w:rPr>
          <w:rFonts w:ascii="Arial" w:hAnsi="Arial" w:cs="Arial"/>
          <w:sz w:val="24"/>
          <w:szCs w:val="24"/>
        </w:rPr>
        <w:t>permanencia</w:t>
      </w:r>
      <w:r w:rsidR="00A9390D">
        <w:rPr>
          <w:rFonts w:ascii="Arial" w:hAnsi="Arial" w:cs="Arial"/>
          <w:sz w:val="24"/>
          <w:szCs w:val="24"/>
        </w:rPr>
        <w:t xml:space="preserve"> de</w:t>
      </w:r>
      <w:r w:rsidR="009D06FD">
        <w:rPr>
          <w:rFonts w:ascii="Arial" w:hAnsi="Arial" w:cs="Arial"/>
          <w:sz w:val="24"/>
          <w:szCs w:val="24"/>
        </w:rPr>
        <w:t xml:space="preserve"> alta, nin a duración da xornada, nin os salarios que perciben</w:t>
      </w:r>
      <w:r w:rsidR="00A9390D">
        <w:rPr>
          <w:rFonts w:ascii="Arial" w:hAnsi="Arial" w:cs="Arial"/>
          <w:sz w:val="24"/>
          <w:szCs w:val="24"/>
        </w:rPr>
        <w:t>, etc. O</w:t>
      </w:r>
      <w:r w:rsidR="009D06FD">
        <w:rPr>
          <w:rFonts w:ascii="Arial" w:hAnsi="Arial" w:cs="Arial"/>
          <w:sz w:val="24"/>
          <w:szCs w:val="24"/>
        </w:rPr>
        <w:t xml:space="preserve"> que si se sabe</w:t>
      </w:r>
      <w:r w:rsidR="00A9390D">
        <w:rPr>
          <w:rFonts w:ascii="Arial" w:hAnsi="Arial" w:cs="Arial"/>
          <w:sz w:val="24"/>
          <w:szCs w:val="24"/>
        </w:rPr>
        <w:t xml:space="preserve"> é</w:t>
      </w:r>
      <w:r w:rsidR="009D06FD">
        <w:rPr>
          <w:rFonts w:ascii="Arial" w:hAnsi="Arial" w:cs="Arial"/>
          <w:sz w:val="24"/>
          <w:szCs w:val="24"/>
        </w:rPr>
        <w:t xml:space="preserve"> que</w:t>
      </w:r>
      <w:r w:rsidR="00A9390D">
        <w:rPr>
          <w:rFonts w:ascii="Arial" w:hAnsi="Arial" w:cs="Arial"/>
          <w:sz w:val="24"/>
          <w:szCs w:val="24"/>
        </w:rPr>
        <w:t>,</w:t>
      </w:r>
      <w:r w:rsidR="009D06FD">
        <w:rPr>
          <w:rFonts w:ascii="Arial" w:hAnsi="Arial" w:cs="Arial"/>
          <w:sz w:val="24"/>
          <w:szCs w:val="24"/>
        </w:rPr>
        <w:t xml:space="preserve"> en te</w:t>
      </w:r>
      <w:r w:rsidR="00A9390D">
        <w:rPr>
          <w:rFonts w:ascii="Arial" w:hAnsi="Arial" w:cs="Arial"/>
          <w:sz w:val="24"/>
          <w:szCs w:val="24"/>
        </w:rPr>
        <w:t>r</w:t>
      </w:r>
      <w:r w:rsidR="009D06FD">
        <w:rPr>
          <w:rFonts w:ascii="Arial" w:hAnsi="Arial" w:cs="Arial"/>
          <w:sz w:val="24"/>
          <w:szCs w:val="24"/>
        </w:rPr>
        <w:t>mos relativos, o incremento da afiliación é moito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9D06FD">
        <w:rPr>
          <w:rFonts w:ascii="Arial" w:hAnsi="Arial" w:cs="Arial"/>
          <w:sz w:val="24"/>
          <w:szCs w:val="24"/>
        </w:rPr>
        <w:t>maior que o d</w:t>
      </w:r>
      <w:r w:rsidR="00A9390D">
        <w:rPr>
          <w:rFonts w:ascii="Arial" w:hAnsi="Arial" w:cs="Arial"/>
          <w:sz w:val="24"/>
          <w:szCs w:val="24"/>
        </w:rPr>
        <w:t>a</w:t>
      </w:r>
      <w:r w:rsidR="009D06FD">
        <w:rPr>
          <w:rFonts w:ascii="Arial" w:hAnsi="Arial" w:cs="Arial"/>
          <w:sz w:val="24"/>
          <w:szCs w:val="24"/>
        </w:rPr>
        <w:t xml:space="preserve"> recadación, o que nos pode orientar sobre os salarios que perciben os novos empregado</w:t>
      </w:r>
      <w:r w:rsidR="00A9390D">
        <w:rPr>
          <w:rFonts w:ascii="Arial" w:hAnsi="Arial" w:cs="Arial"/>
          <w:sz w:val="24"/>
          <w:szCs w:val="24"/>
        </w:rPr>
        <w:t>s/a. Se a isto</w:t>
      </w:r>
      <w:r w:rsidR="009D06FD">
        <w:rPr>
          <w:rFonts w:ascii="Arial" w:hAnsi="Arial" w:cs="Arial"/>
          <w:sz w:val="24"/>
          <w:szCs w:val="24"/>
        </w:rPr>
        <w:t xml:space="preserve"> engadimos os datos da </w:t>
      </w:r>
      <w:r w:rsidR="00A9390D">
        <w:rPr>
          <w:rFonts w:ascii="Arial" w:hAnsi="Arial" w:cs="Arial"/>
          <w:sz w:val="24"/>
          <w:szCs w:val="24"/>
        </w:rPr>
        <w:t>A</w:t>
      </w:r>
      <w:r w:rsidR="009D06FD">
        <w:rPr>
          <w:rFonts w:ascii="Arial" w:hAnsi="Arial" w:cs="Arial"/>
          <w:sz w:val="24"/>
          <w:szCs w:val="24"/>
        </w:rPr>
        <w:t xml:space="preserve">xencia </w:t>
      </w:r>
      <w:r w:rsidR="00A9390D">
        <w:rPr>
          <w:rFonts w:ascii="Arial" w:hAnsi="Arial" w:cs="Arial"/>
          <w:sz w:val="24"/>
          <w:szCs w:val="24"/>
        </w:rPr>
        <w:t>T</w:t>
      </w:r>
      <w:r w:rsidR="009D06FD">
        <w:rPr>
          <w:rFonts w:ascii="Arial" w:hAnsi="Arial" w:cs="Arial"/>
          <w:sz w:val="24"/>
          <w:szCs w:val="24"/>
        </w:rPr>
        <w:t xml:space="preserve">ributaria, </w:t>
      </w:r>
      <w:r w:rsidR="004C2B93">
        <w:rPr>
          <w:rFonts w:ascii="Arial" w:hAnsi="Arial" w:cs="Arial"/>
          <w:sz w:val="24"/>
          <w:szCs w:val="24"/>
        </w:rPr>
        <w:t xml:space="preserve">o termo “pobreza laboral”, tan de moda ultimamente, parece plenamente xustificado. </w:t>
      </w:r>
    </w:p>
    <w:p w:rsidR="00030316" w:rsidRDefault="009A19D5" w:rsidP="00611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</w:t>
      </w:r>
      <w:r w:rsidR="00A9390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mos comezar polos datos puramente cuantitativos do mercado de traballo galego.</w:t>
      </w:r>
    </w:p>
    <w:p w:rsidR="00DC4753" w:rsidRDefault="00DC4753" w:rsidP="00611D6A">
      <w:pPr>
        <w:jc w:val="both"/>
        <w:rPr>
          <w:rFonts w:ascii="Arial" w:hAnsi="Arial" w:cs="Arial"/>
          <w:sz w:val="24"/>
          <w:szCs w:val="24"/>
        </w:rPr>
      </w:pPr>
    </w:p>
    <w:p w:rsidR="00DC4753" w:rsidRDefault="00DC4753" w:rsidP="00611D6A">
      <w:pPr>
        <w:jc w:val="both"/>
        <w:rPr>
          <w:rFonts w:ascii="Arial" w:hAnsi="Arial" w:cs="Arial"/>
          <w:sz w:val="24"/>
          <w:szCs w:val="24"/>
        </w:rPr>
      </w:pPr>
    </w:p>
    <w:p w:rsidR="009B0AEA" w:rsidRPr="004C2B93" w:rsidRDefault="004C2B93" w:rsidP="004C2B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2B93">
        <w:rPr>
          <w:rFonts w:ascii="Arial" w:hAnsi="Arial" w:cs="Arial"/>
          <w:b/>
          <w:sz w:val="32"/>
          <w:szCs w:val="32"/>
        </w:rPr>
        <w:lastRenderedPageBreak/>
        <w:t>Afiliación á Seguridade Social</w:t>
      </w:r>
      <w:r>
        <w:rPr>
          <w:rFonts w:ascii="Arial" w:hAnsi="Arial" w:cs="Arial"/>
          <w:sz w:val="24"/>
          <w:szCs w:val="24"/>
        </w:rPr>
        <w:t>.</w:t>
      </w:r>
    </w:p>
    <w:p w:rsidR="009B0AEA" w:rsidRDefault="009B0AEA" w:rsidP="00611D6A">
      <w:pPr>
        <w:jc w:val="both"/>
        <w:rPr>
          <w:rFonts w:ascii="Arial" w:hAnsi="Arial" w:cs="Arial"/>
          <w:sz w:val="24"/>
          <w:szCs w:val="24"/>
        </w:rPr>
      </w:pPr>
    </w:p>
    <w:p w:rsidR="00611D6A" w:rsidRDefault="00863BEA" w:rsidP="00611D6A">
      <w:pPr>
        <w:jc w:val="both"/>
        <w:rPr>
          <w:rFonts w:ascii="Arial" w:hAnsi="Arial" w:cs="Arial"/>
          <w:sz w:val="24"/>
          <w:szCs w:val="24"/>
        </w:rPr>
      </w:pPr>
      <w:r w:rsidRPr="003725C7">
        <w:rPr>
          <w:rFonts w:ascii="Arial" w:hAnsi="Arial" w:cs="Arial"/>
          <w:sz w:val="24"/>
          <w:szCs w:val="24"/>
        </w:rPr>
        <w:t xml:space="preserve">De media, no ano 2015, </w:t>
      </w:r>
      <w:r w:rsidR="003725C7" w:rsidRPr="003725C7">
        <w:rPr>
          <w:rFonts w:ascii="Arial" w:hAnsi="Arial" w:cs="Arial"/>
          <w:sz w:val="24"/>
          <w:szCs w:val="24"/>
        </w:rPr>
        <w:t>estiveron afiliad</w:t>
      </w:r>
      <w:r w:rsidR="000A5B42">
        <w:rPr>
          <w:rFonts w:ascii="Arial" w:hAnsi="Arial" w:cs="Arial"/>
          <w:sz w:val="24"/>
          <w:szCs w:val="24"/>
        </w:rPr>
        <w:t>a</w:t>
      </w:r>
      <w:r w:rsidR="003725C7" w:rsidRPr="003725C7">
        <w:rPr>
          <w:rFonts w:ascii="Arial" w:hAnsi="Arial" w:cs="Arial"/>
          <w:sz w:val="24"/>
          <w:szCs w:val="24"/>
        </w:rPr>
        <w:t>s</w:t>
      </w:r>
      <w:r w:rsidR="003725C7">
        <w:rPr>
          <w:rFonts w:ascii="Arial" w:hAnsi="Arial" w:cs="Arial"/>
          <w:sz w:val="24"/>
          <w:szCs w:val="24"/>
        </w:rPr>
        <w:t xml:space="preserve"> á Seguridade Social en G</w:t>
      </w:r>
      <w:r w:rsidR="00E0776D">
        <w:rPr>
          <w:rFonts w:ascii="Arial" w:hAnsi="Arial" w:cs="Arial"/>
          <w:sz w:val="24"/>
          <w:szCs w:val="24"/>
        </w:rPr>
        <w:t>aliza</w:t>
      </w:r>
      <w:r w:rsidR="003725C7">
        <w:rPr>
          <w:rFonts w:ascii="Arial" w:hAnsi="Arial" w:cs="Arial"/>
          <w:sz w:val="24"/>
          <w:szCs w:val="24"/>
        </w:rPr>
        <w:t xml:space="preserve"> </w:t>
      </w:r>
      <w:r w:rsidR="00670A5B">
        <w:rPr>
          <w:rFonts w:ascii="Arial" w:hAnsi="Arial" w:cs="Arial"/>
          <w:sz w:val="24"/>
          <w:szCs w:val="24"/>
        </w:rPr>
        <w:t>940.830</w:t>
      </w:r>
      <w:r w:rsidR="003725C7">
        <w:rPr>
          <w:rFonts w:ascii="Arial" w:hAnsi="Arial" w:cs="Arial"/>
          <w:sz w:val="24"/>
          <w:szCs w:val="24"/>
        </w:rPr>
        <w:t xml:space="preserve"> persoas, </w:t>
      </w:r>
      <w:r w:rsidR="00F82326">
        <w:rPr>
          <w:rFonts w:ascii="Arial" w:hAnsi="Arial" w:cs="Arial"/>
          <w:sz w:val="24"/>
          <w:szCs w:val="24"/>
        </w:rPr>
        <w:t xml:space="preserve">un 2% máis que durante o ano 2014. Na media do </w:t>
      </w:r>
      <w:r w:rsidR="000A5B42">
        <w:rPr>
          <w:rFonts w:ascii="Arial" w:hAnsi="Arial" w:cs="Arial"/>
          <w:sz w:val="24"/>
          <w:szCs w:val="24"/>
        </w:rPr>
        <w:t>E</w:t>
      </w:r>
      <w:r w:rsidR="00F82326">
        <w:rPr>
          <w:rFonts w:ascii="Arial" w:hAnsi="Arial" w:cs="Arial"/>
          <w:sz w:val="24"/>
          <w:szCs w:val="24"/>
        </w:rPr>
        <w:t>stado, o incremento da afiliación foi do 3,2%.</w:t>
      </w:r>
    </w:p>
    <w:p w:rsidR="00185FF6" w:rsidRDefault="00185FF6" w:rsidP="00611D6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Sombreadomedio2-nfasis12"/>
        <w:tblW w:w="10720" w:type="dxa"/>
        <w:tblInd w:w="-929" w:type="dxa"/>
        <w:tblLook w:val="04A0"/>
      </w:tblPr>
      <w:tblGrid>
        <w:gridCol w:w="112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185FF6" w:rsidRPr="00185FF6" w:rsidTr="00A33238">
        <w:trPr>
          <w:cnfStyle w:val="100000000000"/>
          <w:trHeight w:val="255"/>
        </w:trPr>
        <w:tc>
          <w:tcPr>
            <w:cnfStyle w:val="001000000100"/>
            <w:tcW w:w="1120" w:type="dxa"/>
            <w:hideMark/>
          </w:tcPr>
          <w:p w:rsidR="00185FF6" w:rsidRPr="00185FF6" w:rsidRDefault="00185FF6" w:rsidP="00185F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185FF6" w:rsidRPr="00185FF6" w:rsidTr="00A33238">
        <w:trPr>
          <w:cnfStyle w:val="000000100000"/>
          <w:trHeight w:val="255"/>
        </w:trPr>
        <w:tc>
          <w:tcPr>
            <w:cnfStyle w:val="001000000000"/>
            <w:tcW w:w="1120" w:type="dxa"/>
            <w:hideMark/>
          </w:tcPr>
          <w:p w:rsidR="00185FF6" w:rsidRPr="00185FF6" w:rsidRDefault="00185FF6" w:rsidP="00185F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Afiliación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1.077.918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1.034.468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1.012.789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985.950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946.229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917.355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921.838</w:t>
            </w:r>
          </w:p>
        </w:tc>
        <w:tc>
          <w:tcPr>
            <w:tcW w:w="1200" w:type="dxa"/>
            <w:hideMark/>
          </w:tcPr>
          <w:p w:rsidR="00185FF6" w:rsidRPr="00185FF6" w:rsidRDefault="00185FF6" w:rsidP="00185F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85FF6">
              <w:rPr>
                <w:rFonts w:ascii="Arial" w:eastAsia="Times New Roman" w:hAnsi="Arial" w:cs="Arial"/>
                <w:sz w:val="20"/>
                <w:szCs w:val="20"/>
              </w:rPr>
              <w:t>940.830</w:t>
            </w:r>
          </w:p>
        </w:tc>
      </w:tr>
    </w:tbl>
    <w:p w:rsidR="00B87371" w:rsidRDefault="002D0DE5">
      <w:pPr>
        <w:rPr>
          <w:rFonts w:ascii="Arial" w:hAnsi="Arial" w:cs="Arial"/>
          <w:sz w:val="24"/>
          <w:szCs w:val="24"/>
        </w:rPr>
      </w:pPr>
      <w:r w:rsidRPr="00392B17">
        <w:rPr>
          <w:rFonts w:ascii="Arial" w:hAnsi="Arial" w:cs="Arial"/>
          <w:sz w:val="24"/>
          <w:szCs w:val="24"/>
        </w:rPr>
        <w:t>Fonte: Teso</w:t>
      </w:r>
      <w:r w:rsidR="000A5B42">
        <w:rPr>
          <w:rFonts w:ascii="Arial" w:hAnsi="Arial" w:cs="Arial"/>
          <w:sz w:val="24"/>
          <w:szCs w:val="24"/>
        </w:rPr>
        <w:t>ura</w:t>
      </w:r>
      <w:r w:rsidR="00392B17">
        <w:rPr>
          <w:rFonts w:ascii="Arial" w:hAnsi="Arial" w:cs="Arial"/>
          <w:sz w:val="24"/>
          <w:szCs w:val="24"/>
        </w:rPr>
        <w:t>rí</w:t>
      </w:r>
      <w:r w:rsidRPr="00392B17">
        <w:rPr>
          <w:rFonts w:ascii="Arial" w:hAnsi="Arial" w:cs="Arial"/>
          <w:sz w:val="24"/>
          <w:szCs w:val="24"/>
        </w:rPr>
        <w:t>a xeral da SS.</w:t>
      </w:r>
    </w:p>
    <w:p w:rsidR="00185FF6" w:rsidRPr="00392B17" w:rsidRDefault="00185F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Gráfico</w:t>
      </w:r>
    </w:p>
    <w:p w:rsidR="00950515" w:rsidRDefault="00185FF6">
      <w:r w:rsidRPr="00185FF6">
        <w:rPr>
          <w:noProof/>
          <w:lang w:val="es-ES" w:eastAsia="es-ES"/>
        </w:rPr>
        <w:drawing>
          <wp:inline distT="0" distB="0" distL="0" distR="0">
            <wp:extent cx="4572000" cy="2743200"/>
            <wp:effectExtent l="19050" t="0" r="1905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2B17" w:rsidRDefault="00392B17"/>
    <w:p w:rsidR="00E52179" w:rsidRDefault="00E52179">
      <w:pPr>
        <w:rPr>
          <w:rFonts w:ascii="Arial" w:hAnsi="Arial" w:cs="Arial"/>
          <w:sz w:val="24"/>
          <w:szCs w:val="24"/>
        </w:rPr>
      </w:pPr>
      <w:r w:rsidRPr="00E52179">
        <w:rPr>
          <w:rFonts w:ascii="Arial" w:hAnsi="Arial" w:cs="Arial"/>
          <w:sz w:val="24"/>
          <w:szCs w:val="24"/>
        </w:rPr>
        <w:t xml:space="preserve">En termos absolutos, son </w:t>
      </w:r>
      <w:r w:rsidR="00185FF6">
        <w:rPr>
          <w:rFonts w:ascii="Arial" w:hAnsi="Arial" w:cs="Arial"/>
          <w:sz w:val="24"/>
          <w:szCs w:val="24"/>
        </w:rPr>
        <w:t>18.992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Pr="00E52179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novos afiliados</w:t>
      </w:r>
      <w:r w:rsidR="000A5B42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en 2015 con</w:t>
      </w:r>
      <w:r w:rsidR="00B24B6D">
        <w:rPr>
          <w:rFonts w:ascii="Arial" w:hAnsi="Arial" w:cs="Arial"/>
          <w:sz w:val="24"/>
          <w:szCs w:val="24"/>
        </w:rPr>
        <w:t xml:space="preserve"> respecto a 201</w:t>
      </w:r>
      <w:r w:rsidR="00670A5B">
        <w:rPr>
          <w:rFonts w:ascii="Arial" w:hAnsi="Arial" w:cs="Arial"/>
          <w:sz w:val="24"/>
          <w:szCs w:val="24"/>
        </w:rPr>
        <w:t>4.</w:t>
      </w:r>
    </w:p>
    <w:p w:rsidR="00670A5B" w:rsidRDefault="00670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que se inicio</w:t>
      </w:r>
      <w:r w:rsidR="000A5B4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a crise en G</w:t>
      </w:r>
      <w:r w:rsidR="00E0776D">
        <w:rPr>
          <w:rFonts w:ascii="Arial" w:hAnsi="Arial" w:cs="Arial"/>
          <w:sz w:val="24"/>
          <w:szCs w:val="24"/>
        </w:rPr>
        <w:t>aliza</w:t>
      </w:r>
      <w:r>
        <w:rPr>
          <w:rFonts w:ascii="Arial" w:hAnsi="Arial" w:cs="Arial"/>
          <w:sz w:val="24"/>
          <w:szCs w:val="24"/>
        </w:rPr>
        <w:t xml:space="preserve">, o descenso da afiliación foi de </w:t>
      </w:r>
      <w:r w:rsidR="00D330F4">
        <w:rPr>
          <w:rFonts w:ascii="Arial" w:hAnsi="Arial" w:cs="Arial"/>
          <w:sz w:val="24"/>
          <w:szCs w:val="24"/>
        </w:rPr>
        <w:t>137.088</w:t>
      </w:r>
      <w:r>
        <w:rPr>
          <w:rFonts w:ascii="Arial" w:hAnsi="Arial" w:cs="Arial"/>
          <w:sz w:val="24"/>
          <w:szCs w:val="24"/>
        </w:rPr>
        <w:t xml:space="preserve"> persoas, un 12,</w:t>
      </w:r>
      <w:r w:rsidR="00825D0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 menos.</w:t>
      </w:r>
    </w:p>
    <w:p w:rsidR="00670A5B" w:rsidRDefault="00670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descenso foi desigual segundo o réxime de afiliación. </w:t>
      </w:r>
    </w:p>
    <w:p w:rsidR="00463798" w:rsidRDefault="00463798">
      <w:pPr>
        <w:rPr>
          <w:rFonts w:ascii="Arial" w:hAnsi="Arial" w:cs="Arial"/>
          <w:sz w:val="24"/>
          <w:szCs w:val="24"/>
        </w:rPr>
      </w:pPr>
    </w:p>
    <w:p w:rsidR="00C32EFF" w:rsidRDefault="00C32EFF">
      <w:pPr>
        <w:rPr>
          <w:rFonts w:ascii="Arial" w:hAnsi="Arial" w:cs="Arial"/>
          <w:sz w:val="24"/>
          <w:szCs w:val="24"/>
        </w:rPr>
      </w:pPr>
    </w:p>
    <w:p w:rsidR="00081225" w:rsidRDefault="00081225">
      <w:pPr>
        <w:rPr>
          <w:rFonts w:ascii="Arial" w:hAnsi="Arial" w:cs="Arial"/>
          <w:sz w:val="24"/>
          <w:szCs w:val="24"/>
        </w:rPr>
      </w:pPr>
    </w:p>
    <w:tbl>
      <w:tblPr>
        <w:tblStyle w:val="Sombreadomedio2-nfasis12"/>
        <w:tblW w:w="0" w:type="auto"/>
        <w:tblLook w:val="04A0"/>
      </w:tblPr>
      <w:tblGrid>
        <w:gridCol w:w="2636"/>
        <w:gridCol w:w="1106"/>
        <w:gridCol w:w="939"/>
        <w:gridCol w:w="939"/>
        <w:gridCol w:w="1039"/>
        <w:gridCol w:w="561"/>
        <w:gridCol w:w="1162"/>
        <w:gridCol w:w="672"/>
      </w:tblGrid>
      <w:tr w:rsidR="00CD2CCB" w:rsidRPr="00CD2CCB" w:rsidTr="00DA0A41">
        <w:trPr>
          <w:cnfStyle w:val="100000000000"/>
          <w:trHeight w:val="255"/>
        </w:trPr>
        <w:tc>
          <w:tcPr>
            <w:cnfStyle w:val="001000000100"/>
            <w:tcW w:w="0" w:type="auto"/>
            <w:hideMark/>
          </w:tcPr>
          <w:p w:rsidR="00CD2CCB" w:rsidRPr="00CD2CCB" w:rsidRDefault="00463798" w:rsidP="00CC2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Afiliación á SS. Media </w:t>
            </w:r>
            <w:r w:rsidR="00CC28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nual.</w:t>
            </w:r>
            <w:r w:rsidR="00CD2CCB" w:rsidRPr="00CD2C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CD2CCB" w:rsidRPr="00CD2CCB" w:rsidRDefault="00CA507C" w:rsidP="00CD2CCB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CD2CCB" w:rsidRPr="00CD2CCB">
              <w:rPr>
                <w:rFonts w:ascii="Arial" w:eastAsia="Times New Roman" w:hAnsi="Arial" w:cs="Arial"/>
                <w:sz w:val="20"/>
                <w:szCs w:val="20"/>
              </w:rPr>
              <w:t>ariación</w:t>
            </w:r>
          </w:p>
        </w:tc>
      </w:tr>
      <w:tr w:rsidR="00A829EC" w:rsidRPr="00CD2CCB" w:rsidTr="00DA0A41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CD2CCB" w:rsidRPr="00CD2CCB" w:rsidRDefault="00CD2CCB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DA0A41" w:rsidP="00CD2CCB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2015/2014</w:t>
            </w:r>
          </w:p>
        </w:tc>
        <w:tc>
          <w:tcPr>
            <w:tcW w:w="0" w:type="auto"/>
            <w:noWrap/>
            <w:hideMark/>
          </w:tcPr>
          <w:p w:rsidR="00CD2CCB" w:rsidRPr="00CD2CCB" w:rsidRDefault="00DA0A41" w:rsidP="00DA0A4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2015/2008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82F" w:rsidRPr="00DA0A41" w:rsidTr="00DA0A41">
        <w:trPr>
          <w:trHeight w:val="255"/>
        </w:trPr>
        <w:tc>
          <w:tcPr>
            <w:cnfStyle w:val="001000000000"/>
            <w:tcW w:w="0" w:type="auto"/>
            <w:hideMark/>
          </w:tcPr>
          <w:p w:rsidR="00CD2CCB" w:rsidRPr="00DA0A41" w:rsidRDefault="00CD2CCB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D2CCB" w:rsidRPr="00DA0A41" w:rsidRDefault="00CD2CCB" w:rsidP="00CD2CCB">
            <w:pPr>
              <w:jc w:val="center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0A41">
              <w:rPr>
                <w:rFonts w:ascii="Arial" w:eastAsia="Times New Roman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0" w:type="auto"/>
            <w:hideMark/>
          </w:tcPr>
          <w:p w:rsidR="00CD2CCB" w:rsidRPr="00DA0A41" w:rsidRDefault="00CD2CCB" w:rsidP="00CD2CCB">
            <w:pPr>
              <w:jc w:val="center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0A41">
              <w:rPr>
                <w:rFonts w:ascii="Arial" w:eastAsia="Times New Roman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DA0A41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0A41">
              <w:rPr>
                <w:rFonts w:ascii="Arial" w:eastAsia="Times New Roman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DA0A41" w:rsidRDefault="00CD2CCB" w:rsidP="00CD2CCB">
            <w:pPr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0A41">
              <w:rPr>
                <w:rFonts w:ascii="Arial" w:eastAsia="Times New Roman" w:hAnsi="Arial" w:cs="Arial"/>
                <w:b/>
                <w:sz w:val="20"/>
                <w:szCs w:val="20"/>
              </w:rPr>
              <w:t>absoluta</w:t>
            </w:r>
          </w:p>
        </w:tc>
        <w:tc>
          <w:tcPr>
            <w:tcW w:w="0" w:type="auto"/>
            <w:noWrap/>
            <w:hideMark/>
          </w:tcPr>
          <w:p w:rsidR="00CD2CCB" w:rsidRPr="00DA0A41" w:rsidRDefault="00CD2CCB" w:rsidP="00CD2CCB">
            <w:pPr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0A41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noWrap/>
            <w:hideMark/>
          </w:tcPr>
          <w:p w:rsidR="00CD2CCB" w:rsidRPr="00DA0A41" w:rsidRDefault="00CD2CCB" w:rsidP="00CD2CCB">
            <w:pPr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0A41">
              <w:rPr>
                <w:rFonts w:ascii="Arial" w:eastAsia="Times New Roman" w:hAnsi="Arial" w:cs="Arial"/>
                <w:b/>
                <w:sz w:val="20"/>
                <w:szCs w:val="20"/>
              </w:rPr>
              <w:t>absoluta</w:t>
            </w:r>
          </w:p>
        </w:tc>
        <w:tc>
          <w:tcPr>
            <w:tcW w:w="0" w:type="auto"/>
            <w:noWrap/>
            <w:hideMark/>
          </w:tcPr>
          <w:p w:rsidR="00CD2CCB" w:rsidRPr="00DA0A41" w:rsidRDefault="00CD2CCB" w:rsidP="00CD2CCB">
            <w:pPr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0A41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686B02" w:rsidRPr="00686B02" w:rsidTr="00DA0A41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CD2CCB" w:rsidRPr="00CD2CCB" w:rsidRDefault="00CD2CCB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Réxime xeral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790.747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684.176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702.406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18.230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-88.341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-11,2</w:t>
            </w:r>
          </w:p>
        </w:tc>
      </w:tr>
      <w:tr w:rsidR="00CC282F" w:rsidRPr="00CD2CCB" w:rsidTr="00DA0A41">
        <w:trPr>
          <w:trHeight w:val="510"/>
        </w:trPr>
        <w:tc>
          <w:tcPr>
            <w:cnfStyle w:val="001000000000"/>
            <w:tcW w:w="0" w:type="auto"/>
            <w:hideMark/>
          </w:tcPr>
          <w:p w:rsidR="00CD2CCB" w:rsidRPr="00CD2CCB" w:rsidRDefault="00E0776D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D2CCB" w:rsidRPr="00CD2CCB">
              <w:rPr>
                <w:rFonts w:ascii="Arial" w:eastAsia="Times New Roman" w:hAnsi="Arial" w:cs="Arial"/>
                <w:sz w:val="20"/>
                <w:szCs w:val="20"/>
              </w:rPr>
              <w:t> Réxime xeral (excepto S.E. Agrario e S.E:E. Fogar)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790.747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652.181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670.031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17.850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-120.716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-15,3</w:t>
            </w:r>
          </w:p>
        </w:tc>
      </w:tr>
      <w:tr w:rsidR="00686B02" w:rsidRPr="00686B02" w:rsidTr="00DA0A41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CD2CCB" w:rsidRPr="00CD2CCB" w:rsidRDefault="00E0776D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D2CCB" w:rsidRPr="00CD2CCB">
              <w:rPr>
                <w:rFonts w:ascii="Arial" w:eastAsia="Times New Roman" w:hAnsi="Arial" w:cs="Arial"/>
                <w:sz w:val="20"/>
                <w:szCs w:val="20"/>
              </w:rPr>
              <w:t> S.E. Agrario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4.525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4.848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82F" w:rsidRPr="00CD2CCB" w:rsidTr="00DA0A41">
        <w:trPr>
          <w:trHeight w:val="255"/>
        </w:trPr>
        <w:tc>
          <w:tcPr>
            <w:cnfStyle w:val="001000000000"/>
            <w:tcW w:w="0" w:type="auto"/>
            <w:hideMark/>
          </w:tcPr>
          <w:p w:rsidR="00CD2CCB" w:rsidRPr="00CD2CCB" w:rsidRDefault="00E0776D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D2CCB" w:rsidRPr="00CD2CCB">
              <w:rPr>
                <w:rFonts w:ascii="Arial" w:eastAsia="Times New Roman" w:hAnsi="Arial" w:cs="Arial"/>
                <w:sz w:val="20"/>
                <w:szCs w:val="20"/>
              </w:rPr>
              <w:t> S.E.E. Fogar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27.470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27.527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B02" w:rsidRPr="00686B02" w:rsidTr="00DA0A41">
        <w:trPr>
          <w:cnfStyle w:val="000000100000"/>
          <w:trHeight w:val="510"/>
        </w:trPr>
        <w:tc>
          <w:tcPr>
            <w:cnfStyle w:val="001000000000"/>
            <w:tcW w:w="0" w:type="auto"/>
            <w:hideMark/>
          </w:tcPr>
          <w:p w:rsidR="00CD2CCB" w:rsidRPr="00CD2CCB" w:rsidRDefault="00CD2CCB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Réxime Especial Traballadores Autónomos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236.669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216.060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217.523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1.463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-19.146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-8,1</w:t>
            </w:r>
          </w:p>
        </w:tc>
      </w:tr>
      <w:tr w:rsidR="00CC282F" w:rsidRPr="00CD2CCB" w:rsidTr="00DA0A41">
        <w:trPr>
          <w:trHeight w:val="255"/>
        </w:trPr>
        <w:tc>
          <w:tcPr>
            <w:cnfStyle w:val="001000000000"/>
            <w:tcW w:w="0" w:type="auto"/>
            <w:hideMark/>
          </w:tcPr>
          <w:p w:rsidR="00CD2CCB" w:rsidRPr="00CD2CCB" w:rsidRDefault="00E0776D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D2CCB" w:rsidRPr="00CD2CCB">
              <w:rPr>
                <w:rFonts w:ascii="Arial" w:eastAsia="Times New Roman" w:hAnsi="Arial" w:cs="Arial"/>
                <w:sz w:val="20"/>
                <w:szCs w:val="20"/>
              </w:rPr>
              <w:t> Non S.E.T.A.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188.216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188.964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748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B02" w:rsidRPr="00686B02" w:rsidTr="00DA0A41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CD2CCB" w:rsidRPr="00CD2CCB" w:rsidRDefault="00E0776D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D2CCB" w:rsidRPr="00CD2CCB">
              <w:rPr>
                <w:rFonts w:ascii="Arial" w:eastAsia="Times New Roman" w:hAnsi="Arial" w:cs="Arial"/>
                <w:sz w:val="20"/>
                <w:szCs w:val="20"/>
              </w:rPr>
              <w:t> S.E.T.A.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29.300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28.580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-720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-2,5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82F" w:rsidRPr="00CD2CCB" w:rsidTr="00DA0A41">
        <w:trPr>
          <w:trHeight w:val="255"/>
        </w:trPr>
        <w:tc>
          <w:tcPr>
            <w:cnfStyle w:val="001000000000"/>
            <w:tcW w:w="0" w:type="auto"/>
            <w:hideMark/>
          </w:tcPr>
          <w:p w:rsidR="00CD2CCB" w:rsidRPr="00CD2CCB" w:rsidRDefault="00CD2CCB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Réxime Especial Agrario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4.480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B02" w:rsidRPr="00686B02" w:rsidTr="00DA0A41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CD2CCB" w:rsidRPr="00CD2CCB" w:rsidRDefault="00CD2CCB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Réxime Especial do Mar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25.563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21.602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20.899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-703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-3,3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-4.664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-18,2</w:t>
            </w:r>
          </w:p>
        </w:tc>
      </w:tr>
      <w:tr w:rsidR="00CC282F" w:rsidRPr="00CD2CCB" w:rsidTr="00DA0A41">
        <w:trPr>
          <w:trHeight w:val="510"/>
        </w:trPr>
        <w:tc>
          <w:tcPr>
            <w:cnfStyle w:val="001000000000"/>
            <w:tcW w:w="0" w:type="auto"/>
            <w:hideMark/>
          </w:tcPr>
          <w:p w:rsidR="00CD2CCB" w:rsidRPr="00CD2CCB" w:rsidRDefault="00CD2CCB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Réxime Especial Minería e Carbón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-41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B02" w:rsidRPr="00686B02" w:rsidTr="00DA0A41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CD2CCB" w:rsidRPr="00CD2CCB" w:rsidRDefault="00CD2CCB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Réxime E. E. Fogar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20.417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CD2CCB" w:rsidRPr="00CD2CCB" w:rsidRDefault="00CD2CCB" w:rsidP="00CD2CC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9EC" w:rsidRPr="00CD2CCB" w:rsidTr="00DA0A41">
        <w:trPr>
          <w:trHeight w:val="255"/>
        </w:trPr>
        <w:tc>
          <w:tcPr>
            <w:cnfStyle w:val="001000000000"/>
            <w:tcW w:w="0" w:type="auto"/>
            <w:hideMark/>
          </w:tcPr>
          <w:p w:rsidR="00CD2CCB" w:rsidRPr="00CD2CCB" w:rsidRDefault="00CD2CCB" w:rsidP="00CD2C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1.077.918</w:t>
            </w:r>
          </w:p>
        </w:tc>
        <w:tc>
          <w:tcPr>
            <w:tcW w:w="0" w:type="auto"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921.838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940.830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</w:tcBorders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18.992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-137.088</w:t>
            </w:r>
          </w:p>
        </w:tc>
        <w:tc>
          <w:tcPr>
            <w:tcW w:w="0" w:type="auto"/>
            <w:noWrap/>
            <w:hideMark/>
          </w:tcPr>
          <w:p w:rsidR="00CD2CCB" w:rsidRPr="00CD2CCB" w:rsidRDefault="00CD2CCB" w:rsidP="00CD2CC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D2CCB">
              <w:rPr>
                <w:rFonts w:ascii="Arial" w:eastAsia="Times New Roman" w:hAnsi="Arial" w:cs="Arial"/>
                <w:sz w:val="20"/>
                <w:szCs w:val="20"/>
              </w:rPr>
              <w:t>-12,7</w:t>
            </w:r>
          </w:p>
        </w:tc>
      </w:tr>
    </w:tbl>
    <w:p w:rsidR="00463798" w:rsidRDefault="00463798" w:rsidP="00463798">
      <w:pPr>
        <w:rPr>
          <w:rFonts w:ascii="Arial" w:hAnsi="Arial" w:cs="Arial"/>
          <w:sz w:val="24"/>
          <w:szCs w:val="24"/>
        </w:rPr>
      </w:pPr>
      <w:r w:rsidRPr="00392B17">
        <w:rPr>
          <w:rFonts w:ascii="Arial" w:hAnsi="Arial" w:cs="Arial"/>
          <w:sz w:val="24"/>
          <w:szCs w:val="24"/>
        </w:rPr>
        <w:t>Fonte: Teso</w:t>
      </w:r>
      <w:r>
        <w:rPr>
          <w:rFonts w:ascii="Arial" w:hAnsi="Arial" w:cs="Arial"/>
          <w:sz w:val="24"/>
          <w:szCs w:val="24"/>
        </w:rPr>
        <w:t>ur</w:t>
      </w:r>
      <w:r w:rsidR="000A5B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rí</w:t>
      </w:r>
      <w:r w:rsidRPr="00392B17">
        <w:rPr>
          <w:rFonts w:ascii="Arial" w:hAnsi="Arial" w:cs="Arial"/>
          <w:sz w:val="24"/>
          <w:szCs w:val="24"/>
        </w:rPr>
        <w:t>a xeral da SS.</w:t>
      </w:r>
    </w:p>
    <w:p w:rsidR="0035620B" w:rsidRDefault="0035620B" w:rsidP="00463798">
      <w:pPr>
        <w:rPr>
          <w:rFonts w:ascii="Arial" w:hAnsi="Arial" w:cs="Arial"/>
          <w:sz w:val="24"/>
          <w:szCs w:val="24"/>
        </w:rPr>
      </w:pPr>
    </w:p>
    <w:p w:rsidR="00670A5B" w:rsidRDefault="0056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o ano 2008 producíronse cambios internos na organiz</w:t>
      </w:r>
      <w:r w:rsidR="00B42879">
        <w:rPr>
          <w:rFonts w:ascii="Arial" w:hAnsi="Arial" w:cs="Arial"/>
          <w:sz w:val="24"/>
          <w:szCs w:val="24"/>
        </w:rPr>
        <w:t>ación da afiliación por réximes. O</w:t>
      </w:r>
      <w:r w:rsidR="00314861">
        <w:rPr>
          <w:rFonts w:ascii="Arial" w:hAnsi="Arial" w:cs="Arial"/>
          <w:sz w:val="24"/>
          <w:szCs w:val="24"/>
        </w:rPr>
        <w:t xml:space="preserve"> réxime especial agrario desapareceu como tal;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314861">
        <w:rPr>
          <w:rFonts w:ascii="Arial" w:hAnsi="Arial" w:cs="Arial"/>
          <w:sz w:val="24"/>
          <w:szCs w:val="24"/>
        </w:rPr>
        <w:t>os traballadores</w:t>
      </w:r>
      <w:r w:rsidR="00B42879">
        <w:rPr>
          <w:rFonts w:ascii="Arial" w:hAnsi="Arial" w:cs="Arial"/>
          <w:sz w:val="24"/>
          <w:szCs w:val="24"/>
        </w:rPr>
        <w:t>/as</w:t>
      </w:r>
      <w:r w:rsidR="00314861">
        <w:rPr>
          <w:rFonts w:ascii="Arial" w:hAnsi="Arial" w:cs="Arial"/>
          <w:sz w:val="24"/>
          <w:szCs w:val="24"/>
        </w:rPr>
        <w:t xml:space="preserve"> por conta allea d</w:t>
      </w:r>
      <w:r w:rsidR="00B42879">
        <w:rPr>
          <w:rFonts w:ascii="Arial" w:hAnsi="Arial" w:cs="Arial"/>
          <w:sz w:val="24"/>
          <w:szCs w:val="24"/>
        </w:rPr>
        <w:t>este</w:t>
      </w:r>
      <w:r w:rsidR="00314861">
        <w:rPr>
          <w:rFonts w:ascii="Arial" w:hAnsi="Arial" w:cs="Arial"/>
          <w:sz w:val="24"/>
          <w:szCs w:val="24"/>
        </w:rPr>
        <w:t xml:space="preserve"> pasaron a formar parte do Réxime xeral, e os</w:t>
      </w:r>
      <w:r w:rsidR="00B42879">
        <w:rPr>
          <w:rFonts w:ascii="Arial" w:hAnsi="Arial" w:cs="Arial"/>
          <w:sz w:val="24"/>
          <w:szCs w:val="24"/>
        </w:rPr>
        <w:t>/as</w:t>
      </w:r>
      <w:r w:rsidR="00314861">
        <w:rPr>
          <w:rFonts w:ascii="Arial" w:hAnsi="Arial" w:cs="Arial"/>
          <w:sz w:val="24"/>
          <w:szCs w:val="24"/>
        </w:rPr>
        <w:t xml:space="preserve"> de por conta propia foron integrado no Réxime especial de traball</w:t>
      </w:r>
      <w:r w:rsidR="0035620B">
        <w:rPr>
          <w:rFonts w:ascii="Arial" w:hAnsi="Arial" w:cs="Arial"/>
          <w:sz w:val="24"/>
          <w:szCs w:val="24"/>
        </w:rPr>
        <w:t>a</w:t>
      </w:r>
      <w:r w:rsidR="00314861">
        <w:rPr>
          <w:rFonts w:ascii="Arial" w:hAnsi="Arial" w:cs="Arial"/>
          <w:sz w:val="24"/>
          <w:szCs w:val="24"/>
        </w:rPr>
        <w:t>dores autónomos baixo o nome de SETA (Sistema Especial de Traballadores por conta propia Agrarios)</w:t>
      </w:r>
      <w:r w:rsidR="0035620B">
        <w:rPr>
          <w:rFonts w:ascii="Arial" w:hAnsi="Arial" w:cs="Arial"/>
          <w:sz w:val="24"/>
          <w:szCs w:val="24"/>
        </w:rPr>
        <w:t>.</w:t>
      </w:r>
    </w:p>
    <w:p w:rsidR="0035620B" w:rsidRDefault="00356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B42879">
        <w:rPr>
          <w:rFonts w:ascii="Arial" w:hAnsi="Arial" w:cs="Arial"/>
          <w:sz w:val="24"/>
          <w:szCs w:val="24"/>
        </w:rPr>
        <w:t>í</w:t>
      </w:r>
      <w:r w:rsidR="006B33CE">
        <w:rPr>
          <w:rFonts w:ascii="Arial" w:hAnsi="Arial" w:cs="Arial"/>
          <w:sz w:val="24"/>
          <w:szCs w:val="24"/>
        </w:rPr>
        <w:t xml:space="preserve"> </w:t>
      </w:r>
      <w:r w:rsidR="00B42879">
        <w:rPr>
          <w:rFonts w:ascii="Arial" w:hAnsi="Arial" w:cs="Arial"/>
          <w:sz w:val="24"/>
          <w:szCs w:val="24"/>
        </w:rPr>
        <w:t>mesmo</w:t>
      </w:r>
      <w:r w:rsidR="00632B54">
        <w:rPr>
          <w:rFonts w:ascii="Arial" w:hAnsi="Arial" w:cs="Arial"/>
          <w:sz w:val="24"/>
          <w:szCs w:val="24"/>
        </w:rPr>
        <w:t>,</w:t>
      </w:r>
      <w:r w:rsidR="00E0776D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Réxime E.E.Fogar desapa</w:t>
      </w:r>
      <w:r w:rsidR="00632B54">
        <w:rPr>
          <w:rFonts w:ascii="Arial" w:hAnsi="Arial" w:cs="Arial"/>
          <w:sz w:val="24"/>
          <w:szCs w:val="24"/>
        </w:rPr>
        <w:t xml:space="preserve">receu, </w:t>
      </w:r>
      <w:r>
        <w:rPr>
          <w:rFonts w:ascii="Arial" w:hAnsi="Arial" w:cs="Arial"/>
          <w:sz w:val="24"/>
          <w:szCs w:val="24"/>
        </w:rPr>
        <w:t>e integrouse no Réxime Xeral.</w:t>
      </w:r>
    </w:p>
    <w:p w:rsidR="0035620B" w:rsidRDefault="001A6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último ano </w:t>
      </w:r>
      <w:r w:rsidR="00B4287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2015</w:t>
      </w:r>
      <w:r w:rsidR="00B4287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32B54">
        <w:rPr>
          <w:rFonts w:ascii="Arial" w:hAnsi="Arial" w:cs="Arial"/>
          <w:sz w:val="24"/>
          <w:szCs w:val="24"/>
        </w:rPr>
        <w:t xml:space="preserve">perdeuse afiliación </w:t>
      </w:r>
      <w:r w:rsidR="00B42879">
        <w:rPr>
          <w:rFonts w:ascii="Arial" w:hAnsi="Arial" w:cs="Arial"/>
          <w:sz w:val="24"/>
          <w:szCs w:val="24"/>
        </w:rPr>
        <w:t>só nos dous réximes ligada</w:t>
      </w:r>
      <w:r w:rsidR="00E0776D">
        <w:rPr>
          <w:rFonts w:ascii="Arial" w:hAnsi="Arial" w:cs="Arial"/>
          <w:sz w:val="24"/>
          <w:szCs w:val="24"/>
        </w:rPr>
        <w:t xml:space="preserve"> ao </w:t>
      </w:r>
      <w:r w:rsidR="00632B54">
        <w:rPr>
          <w:rFonts w:ascii="Arial" w:hAnsi="Arial" w:cs="Arial"/>
          <w:sz w:val="24"/>
          <w:szCs w:val="24"/>
        </w:rPr>
        <w:t>secto</w:t>
      </w:r>
      <w:r w:rsidR="00B42879">
        <w:rPr>
          <w:rFonts w:ascii="Arial" w:hAnsi="Arial" w:cs="Arial"/>
          <w:sz w:val="24"/>
          <w:szCs w:val="24"/>
        </w:rPr>
        <w:t xml:space="preserve">r primario: R. E. do mar e SETA. E </w:t>
      </w:r>
      <w:r w:rsidR="00632B54">
        <w:rPr>
          <w:rFonts w:ascii="Arial" w:hAnsi="Arial" w:cs="Arial"/>
          <w:sz w:val="24"/>
          <w:szCs w:val="24"/>
        </w:rPr>
        <w:t xml:space="preserve">en proporcións moi semellantes; ambas perderon en torno </w:t>
      </w:r>
      <w:r w:rsidR="00B42879">
        <w:rPr>
          <w:rFonts w:ascii="Arial" w:hAnsi="Arial" w:cs="Arial"/>
          <w:sz w:val="24"/>
          <w:szCs w:val="24"/>
        </w:rPr>
        <w:t>a</w:t>
      </w:r>
      <w:r w:rsidR="00632B54">
        <w:rPr>
          <w:rFonts w:ascii="Arial" w:hAnsi="Arial" w:cs="Arial"/>
          <w:sz w:val="24"/>
          <w:szCs w:val="24"/>
        </w:rPr>
        <w:t>os 700 afiliados</w:t>
      </w:r>
      <w:r w:rsidR="00B42879">
        <w:rPr>
          <w:rFonts w:ascii="Arial" w:hAnsi="Arial" w:cs="Arial"/>
          <w:sz w:val="24"/>
          <w:szCs w:val="24"/>
        </w:rPr>
        <w:t>/as</w:t>
      </w:r>
      <w:r w:rsidR="00632B54">
        <w:rPr>
          <w:rFonts w:ascii="Arial" w:hAnsi="Arial" w:cs="Arial"/>
          <w:sz w:val="24"/>
          <w:szCs w:val="24"/>
        </w:rPr>
        <w:t xml:space="preserve">. </w:t>
      </w:r>
    </w:p>
    <w:p w:rsidR="00632B54" w:rsidRDefault="00632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maior medre da afiliación durante 2015 deuse no réxime xeral, onde medrou a afiliación un 2,7%, o que en termos absolutos equivale a 18.230 persoas máis dadas de alta neste réxime.</w:t>
      </w:r>
    </w:p>
    <w:p w:rsidR="00670A5B" w:rsidRDefault="00632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o ano 2008, o maior quebranto, en termos relativos, produciuse no R. E. do Mar cun 18,2% menos de afiliación</w:t>
      </w:r>
      <w:r w:rsidR="000B74C4">
        <w:rPr>
          <w:rFonts w:ascii="Arial" w:hAnsi="Arial" w:cs="Arial"/>
          <w:sz w:val="24"/>
          <w:szCs w:val="24"/>
        </w:rPr>
        <w:t>, seguido do réxime xeral (propiamente dito) onde a afiliación descendeu un 15,3% equivalente a 120.716 persoas.</w:t>
      </w:r>
    </w:p>
    <w:p w:rsidR="000C1DD2" w:rsidRDefault="000C1DD2">
      <w:pPr>
        <w:rPr>
          <w:rFonts w:ascii="Arial" w:hAnsi="Arial" w:cs="Arial"/>
          <w:sz w:val="24"/>
          <w:szCs w:val="24"/>
        </w:rPr>
      </w:pPr>
    </w:p>
    <w:p w:rsidR="000C1DD2" w:rsidRDefault="000C1DD2">
      <w:pPr>
        <w:rPr>
          <w:rFonts w:ascii="Arial" w:hAnsi="Arial" w:cs="Arial"/>
          <w:sz w:val="24"/>
          <w:szCs w:val="24"/>
        </w:rPr>
      </w:pPr>
    </w:p>
    <w:p w:rsidR="000C1DD2" w:rsidRPr="000C1DD2" w:rsidRDefault="000C1DD2" w:rsidP="000C1DD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0C1DD2">
        <w:rPr>
          <w:rFonts w:ascii="Arial" w:hAnsi="Arial" w:cs="Arial"/>
          <w:b/>
          <w:sz w:val="32"/>
          <w:szCs w:val="32"/>
        </w:rPr>
        <w:t>Paro rexistrado</w:t>
      </w:r>
    </w:p>
    <w:p w:rsidR="000C1DD2" w:rsidRDefault="008A35B9" w:rsidP="000C1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paro rexistrado descendeu</w:t>
      </w:r>
      <w:r w:rsidR="00B23EB3">
        <w:rPr>
          <w:rFonts w:ascii="Arial" w:hAnsi="Arial" w:cs="Arial"/>
          <w:sz w:val="24"/>
          <w:szCs w:val="24"/>
        </w:rPr>
        <w:t>, de media,</w:t>
      </w:r>
      <w:r>
        <w:rPr>
          <w:rFonts w:ascii="Arial" w:hAnsi="Arial" w:cs="Arial"/>
          <w:sz w:val="24"/>
          <w:szCs w:val="24"/>
        </w:rPr>
        <w:t xml:space="preserve"> no ano 2015 en 23.516 persoas con respecto a 2014.</w:t>
      </w:r>
    </w:p>
    <w:p w:rsidR="008A35B9" w:rsidRPr="000C1DD2" w:rsidRDefault="00652C94" w:rsidP="000C1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Paro rexistrado</w:t>
      </w:r>
      <w:r w:rsidR="004666FC">
        <w:rPr>
          <w:rFonts w:ascii="Arial" w:hAnsi="Arial" w:cs="Arial"/>
          <w:sz w:val="24"/>
          <w:szCs w:val="24"/>
        </w:rPr>
        <w:t xml:space="preserve">. Datos </w:t>
      </w:r>
      <w:r w:rsidR="006336C5">
        <w:rPr>
          <w:rFonts w:ascii="Arial" w:hAnsi="Arial" w:cs="Arial"/>
          <w:sz w:val="24"/>
          <w:szCs w:val="24"/>
        </w:rPr>
        <w:t>mensuais.</w:t>
      </w:r>
    </w:p>
    <w:tbl>
      <w:tblPr>
        <w:tblStyle w:val="Sombreadomedio2-nfasis12"/>
        <w:tblW w:w="0" w:type="auto"/>
        <w:tblLook w:val="04A0"/>
      </w:tblPr>
      <w:tblGrid>
        <w:gridCol w:w="1206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D654B4" w:rsidRPr="006741AE" w:rsidTr="006741AE">
        <w:trPr>
          <w:cnfStyle w:val="100000000000"/>
          <w:trHeight w:val="315"/>
        </w:trPr>
        <w:tc>
          <w:tcPr>
            <w:cnfStyle w:val="0010000001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D654B4" w:rsidRPr="006741AE" w:rsidTr="006741AE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Xaneiro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161.162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201.316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231.628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245.831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271.284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290.790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281.077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259.002</w:t>
            </w:r>
          </w:p>
        </w:tc>
      </w:tr>
      <w:tr w:rsidR="00D654B4" w:rsidRPr="006741AE" w:rsidTr="006741AE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Febreiro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161.828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206.570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234.171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248.279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274.675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292.823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280.071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257.549</w:t>
            </w:r>
          </w:p>
        </w:tc>
      </w:tr>
      <w:tr w:rsidR="00D654B4" w:rsidRPr="006741AE" w:rsidTr="006741AE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160.180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211.484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236.449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249.246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276.795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291.187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276.463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252.137</w:t>
            </w:r>
          </w:p>
        </w:tc>
      </w:tr>
      <w:tr w:rsidR="00D654B4" w:rsidRPr="006741AE" w:rsidTr="006741AE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159.749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210.662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233.916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244.662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277.644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290.459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270.144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244.761</w:t>
            </w:r>
          </w:p>
        </w:tc>
      </w:tr>
      <w:tr w:rsidR="00D654B4" w:rsidRPr="006741AE" w:rsidTr="006741AE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Maio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156.779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207.518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228.507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240.014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276.608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283.886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263.444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236.981</w:t>
            </w:r>
          </w:p>
        </w:tc>
      </w:tr>
      <w:tr w:rsidR="00D654B4" w:rsidRPr="006741AE" w:rsidTr="006741AE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Xuño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152.708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200.240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219.825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233.557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269.203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273.434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252.310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229.062</w:t>
            </w:r>
          </w:p>
        </w:tc>
      </w:tr>
      <w:tr w:rsidR="00D654B4" w:rsidRPr="006741AE" w:rsidTr="006741AE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Xullo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149.318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192.859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209.789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223.000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260.198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261.102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240.279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216.371</w:t>
            </w:r>
          </w:p>
        </w:tc>
      </w:tr>
      <w:tr w:rsidR="00D654B4" w:rsidRPr="006741AE" w:rsidTr="006741AE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152.437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195.241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211.532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224.582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257.267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257.524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236.939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213.732</w:t>
            </w:r>
          </w:p>
        </w:tc>
      </w:tr>
      <w:tr w:rsidR="00D654B4" w:rsidRPr="006741AE" w:rsidTr="006741AE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Setembro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156.834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200.465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216.095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232.918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259.373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260.733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238.203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215.737</w:t>
            </w:r>
          </w:p>
        </w:tc>
      </w:tr>
      <w:tr w:rsidR="00D654B4" w:rsidRPr="006741AE" w:rsidTr="006741AE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Outubro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168.423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208.923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223.894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242.142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267.812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268.225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244.044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222.092</w:t>
            </w:r>
          </w:p>
        </w:tc>
      </w:tr>
      <w:tr w:rsidR="00D654B4" w:rsidRPr="006741AE" w:rsidTr="006741AE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Novembro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180.820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216.828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231.721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253.416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276.536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270.854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248.632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225.158</w:t>
            </w:r>
          </w:p>
        </w:tc>
      </w:tr>
      <w:tr w:rsidR="00D654B4" w:rsidRPr="006741AE" w:rsidTr="006741AE">
        <w:trPr>
          <w:trHeight w:val="300"/>
        </w:trPr>
        <w:tc>
          <w:tcPr>
            <w:cnfStyle w:val="001000000000"/>
            <w:tcW w:w="0" w:type="auto"/>
            <w:noWrap/>
            <w:hideMark/>
          </w:tcPr>
          <w:p w:rsidR="00D654B4" w:rsidRPr="006741AE" w:rsidRDefault="00D654B4" w:rsidP="00D65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Decembro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189.903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222.839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237.313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258.234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278.787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271.063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251.981</w:t>
            </w:r>
          </w:p>
        </w:tc>
        <w:tc>
          <w:tcPr>
            <w:tcW w:w="0" w:type="auto"/>
            <w:noWrap/>
            <w:hideMark/>
          </w:tcPr>
          <w:p w:rsidR="00D654B4" w:rsidRPr="006741AE" w:rsidRDefault="00D654B4" w:rsidP="00D654B4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741AE">
              <w:rPr>
                <w:rFonts w:ascii="Arial" w:eastAsia="Times New Roman" w:hAnsi="Arial" w:cs="Arial"/>
                <w:sz w:val="20"/>
                <w:szCs w:val="20"/>
              </w:rPr>
              <w:t>228.808</w:t>
            </w:r>
          </w:p>
        </w:tc>
      </w:tr>
    </w:tbl>
    <w:p w:rsidR="000C1DD2" w:rsidRDefault="00652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Servizo Público de emprego estatal.</w:t>
      </w:r>
    </w:p>
    <w:p w:rsidR="0072226D" w:rsidRDefault="0072226D">
      <w:pPr>
        <w:rPr>
          <w:rFonts w:ascii="Arial" w:hAnsi="Arial" w:cs="Arial"/>
          <w:sz w:val="24"/>
          <w:szCs w:val="24"/>
        </w:rPr>
      </w:pPr>
    </w:p>
    <w:p w:rsidR="00CC282F" w:rsidRDefault="00652C94">
      <w:pPr>
        <w:rPr>
          <w:rFonts w:ascii="Arial" w:hAnsi="Arial" w:cs="Arial"/>
          <w:sz w:val="24"/>
          <w:szCs w:val="24"/>
        </w:rPr>
      </w:pPr>
      <w:r w:rsidRPr="00652C94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534025" cy="3276600"/>
            <wp:effectExtent l="19050" t="0" r="9525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2E75" w:rsidRDefault="00102E75">
      <w:pPr>
        <w:rPr>
          <w:rFonts w:ascii="Arial" w:hAnsi="Arial" w:cs="Arial"/>
          <w:sz w:val="24"/>
          <w:szCs w:val="24"/>
        </w:rPr>
      </w:pPr>
    </w:p>
    <w:p w:rsidR="00102E75" w:rsidRDefault="00217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t</w:t>
      </w:r>
      <w:r w:rsidR="006B33CE">
        <w:rPr>
          <w:rFonts w:ascii="Arial" w:hAnsi="Arial" w:cs="Arial"/>
          <w:sz w:val="24"/>
          <w:szCs w:val="24"/>
        </w:rPr>
        <w:t>odos os</w:t>
      </w:r>
      <w:r>
        <w:rPr>
          <w:rFonts w:ascii="Arial" w:hAnsi="Arial" w:cs="Arial"/>
          <w:sz w:val="24"/>
          <w:szCs w:val="24"/>
        </w:rPr>
        <w:t xml:space="preserve"> e parad</w:t>
      </w:r>
      <w:r w:rsidR="006B33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están anotadas nas oficinas do SEPE, </w:t>
      </w:r>
      <w:r w:rsidR="006B33CE">
        <w:rPr>
          <w:rFonts w:ascii="Arial" w:hAnsi="Arial" w:cs="Arial"/>
          <w:sz w:val="24"/>
          <w:szCs w:val="24"/>
        </w:rPr>
        <w:t xml:space="preserve">xa que </w:t>
      </w:r>
      <w:r>
        <w:rPr>
          <w:rFonts w:ascii="Arial" w:hAnsi="Arial" w:cs="Arial"/>
          <w:sz w:val="24"/>
          <w:szCs w:val="24"/>
        </w:rPr>
        <w:t>non é obrigatorio; máxime, cando a situación de parado se alonga, as prestacións desaparece</w:t>
      </w:r>
      <w:r w:rsidR="006B33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desánimo impera e seguir “fichando” non ten ningunha compensación. </w:t>
      </w:r>
    </w:p>
    <w:p w:rsidR="00217AC7" w:rsidRDefault="006B3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Isto, c</w:t>
      </w:r>
      <w:r w:rsidR="00217AC7">
        <w:rPr>
          <w:rFonts w:ascii="Arial" w:hAnsi="Arial" w:cs="Arial"/>
          <w:sz w:val="24"/>
          <w:szCs w:val="24"/>
        </w:rPr>
        <w:t>o engadido que non todo descenso de desempregados</w:t>
      </w:r>
      <w:r>
        <w:rPr>
          <w:rFonts w:ascii="Arial" w:hAnsi="Arial" w:cs="Arial"/>
          <w:sz w:val="24"/>
          <w:szCs w:val="24"/>
        </w:rPr>
        <w:t>/as</w:t>
      </w:r>
      <w:r w:rsidR="00217AC7">
        <w:rPr>
          <w:rFonts w:ascii="Arial" w:hAnsi="Arial" w:cs="Arial"/>
          <w:sz w:val="24"/>
          <w:szCs w:val="24"/>
        </w:rPr>
        <w:t xml:space="preserve"> se traduce en incremento do emprego</w:t>
      </w:r>
      <w:r>
        <w:rPr>
          <w:rFonts w:ascii="Arial" w:hAnsi="Arial" w:cs="Arial"/>
          <w:sz w:val="24"/>
          <w:szCs w:val="24"/>
        </w:rPr>
        <w:t>. De</w:t>
      </w:r>
      <w:r w:rsidR="00217AC7">
        <w:rPr>
          <w:rFonts w:ascii="Arial" w:hAnsi="Arial" w:cs="Arial"/>
          <w:sz w:val="24"/>
          <w:szCs w:val="24"/>
        </w:rPr>
        <w:t xml:space="preserve"> feito</w:t>
      </w:r>
      <w:r>
        <w:rPr>
          <w:rFonts w:ascii="Arial" w:hAnsi="Arial" w:cs="Arial"/>
          <w:sz w:val="24"/>
          <w:szCs w:val="24"/>
        </w:rPr>
        <w:t>,</w:t>
      </w:r>
      <w:r w:rsidR="00217AC7">
        <w:rPr>
          <w:rFonts w:ascii="Arial" w:hAnsi="Arial" w:cs="Arial"/>
          <w:sz w:val="24"/>
          <w:szCs w:val="24"/>
        </w:rPr>
        <w:t xml:space="preserve"> a afiliación á seguridade social aumentou en menor medida que o descenso do desemprego; xubilacións e emigración tamén contribúen </w:t>
      </w:r>
      <w:r>
        <w:rPr>
          <w:rFonts w:ascii="Arial" w:hAnsi="Arial" w:cs="Arial"/>
          <w:sz w:val="24"/>
          <w:szCs w:val="24"/>
        </w:rPr>
        <w:t>á</w:t>
      </w:r>
      <w:r w:rsidR="00217AC7">
        <w:rPr>
          <w:rFonts w:ascii="Arial" w:hAnsi="Arial" w:cs="Arial"/>
          <w:sz w:val="24"/>
          <w:szCs w:val="24"/>
        </w:rPr>
        <w:t xml:space="preserve"> evolución positiva deste indicador.</w:t>
      </w:r>
    </w:p>
    <w:p w:rsidR="00217AC7" w:rsidRDefault="006B3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</w:t>
      </w:r>
      <w:r w:rsidR="00217AC7">
        <w:rPr>
          <w:rFonts w:ascii="Arial" w:hAnsi="Arial" w:cs="Arial"/>
          <w:sz w:val="24"/>
          <w:szCs w:val="24"/>
        </w:rPr>
        <w:t xml:space="preserve"> marxe destas matizacións, a redución do desemprego é cativa</w:t>
      </w:r>
      <w:r w:rsidR="00DE1F30">
        <w:rPr>
          <w:rFonts w:ascii="Arial" w:hAnsi="Arial" w:cs="Arial"/>
          <w:sz w:val="24"/>
          <w:szCs w:val="24"/>
        </w:rPr>
        <w:t>,</w:t>
      </w:r>
      <w:r w:rsidR="00D56BAA">
        <w:rPr>
          <w:rFonts w:ascii="Arial" w:hAnsi="Arial" w:cs="Arial"/>
          <w:sz w:val="24"/>
          <w:szCs w:val="24"/>
        </w:rPr>
        <w:t xml:space="preserve"> moi cativa para a longa travesía que </w:t>
      </w:r>
      <w:r w:rsidR="00DE1F30">
        <w:rPr>
          <w:rFonts w:ascii="Arial" w:hAnsi="Arial" w:cs="Arial"/>
          <w:sz w:val="24"/>
          <w:szCs w:val="24"/>
        </w:rPr>
        <w:t>tivemo</w:t>
      </w:r>
      <w:r w:rsidR="00D56BAA">
        <w:rPr>
          <w:rFonts w:ascii="Arial" w:hAnsi="Arial" w:cs="Arial"/>
          <w:sz w:val="24"/>
          <w:szCs w:val="24"/>
        </w:rPr>
        <w:t>s nos últimos anos. Aínda son 67.000 parados</w:t>
      </w:r>
      <w:r w:rsidR="00DE1F30">
        <w:rPr>
          <w:rFonts w:ascii="Arial" w:hAnsi="Arial" w:cs="Arial"/>
          <w:sz w:val="24"/>
          <w:szCs w:val="24"/>
        </w:rPr>
        <w:t>/as</w:t>
      </w:r>
      <w:r w:rsidR="00D56BAA">
        <w:rPr>
          <w:rFonts w:ascii="Arial" w:hAnsi="Arial" w:cs="Arial"/>
          <w:sz w:val="24"/>
          <w:szCs w:val="24"/>
        </w:rPr>
        <w:t xml:space="preserve"> máis que os</w:t>
      </w:r>
      <w:r w:rsidR="00DE1F30">
        <w:rPr>
          <w:rFonts w:ascii="Arial" w:hAnsi="Arial" w:cs="Arial"/>
          <w:sz w:val="24"/>
          <w:szCs w:val="24"/>
        </w:rPr>
        <w:t>/as</w:t>
      </w:r>
      <w:r w:rsidR="00D56BAA">
        <w:rPr>
          <w:rFonts w:ascii="Arial" w:hAnsi="Arial" w:cs="Arial"/>
          <w:sz w:val="24"/>
          <w:szCs w:val="24"/>
        </w:rPr>
        <w:t xml:space="preserve"> rexistrados</w:t>
      </w:r>
      <w:r w:rsidR="00E0776D">
        <w:rPr>
          <w:rFonts w:ascii="Arial" w:hAnsi="Arial" w:cs="Arial"/>
          <w:sz w:val="24"/>
          <w:szCs w:val="24"/>
        </w:rPr>
        <w:t xml:space="preserve"> ao </w:t>
      </w:r>
      <w:r w:rsidR="00D56BAA">
        <w:rPr>
          <w:rFonts w:ascii="Arial" w:hAnsi="Arial" w:cs="Arial"/>
          <w:sz w:val="24"/>
          <w:szCs w:val="24"/>
        </w:rPr>
        <w:t>inicio da crise, a principios do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D56BAA">
        <w:rPr>
          <w:rFonts w:ascii="Arial" w:hAnsi="Arial" w:cs="Arial"/>
          <w:sz w:val="24"/>
          <w:szCs w:val="24"/>
        </w:rPr>
        <w:t xml:space="preserve">ano 2008. </w:t>
      </w:r>
    </w:p>
    <w:p w:rsidR="005F10A7" w:rsidRDefault="005F10A7">
      <w:pPr>
        <w:rPr>
          <w:rFonts w:ascii="Arial" w:hAnsi="Arial" w:cs="Arial"/>
          <w:sz w:val="24"/>
          <w:szCs w:val="24"/>
        </w:rPr>
      </w:pPr>
    </w:p>
    <w:p w:rsidR="00601E15" w:rsidRDefault="00601E15">
      <w:pPr>
        <w:rPr>
          <w:rFonts w:ascii="Arial" w:hAnsi="Arial" w:cs="Arial"/>
          <w:sz w:val="24"/>
          <w:szCs w:val="24"/>
        </w:rPr>
      </w:pPr>
    </w:p>
    <w:p w:rsidR="00601E15" w:rsidRDefault="00601E15">
      <w:pPr>
        <w:rPr>
          <w:rFonts w:ascii="Arial" w:hAnsi="Arial" w:cs="Arial"/>
          <w:sz w:val="24"/>
          <w:szCs w:val="24"/>
        </w:rPr>
      </w:pPr>
    </w:p>
    <w:p w:rsidR="00601E15" w:rsidRDefault="00601E15">
      <w:pPr>
        <w:rPr>
          <w:rFonts w:ascii="Arial" w:hAnsi="Arial" w:cs="Arial"/>
          <w:sz w:val="24"/>
          <w:szCs w:val="24"/>
        </w:rPr>
      </w:pPr>
    </w:p>
    <w:p w:rsidR="00601E15" w:rsidRDefault="00601E15">
      <w:pPr>
        <w:rPr>
          <w:rFonts w:ascii="Arial" w:hAnsi="Arial" w:cs="Arial"/>
          <w:sz w:val="24"/>
          <w:szCs w:val="24"/>
        </w:rPr>
      </w:pPr>
    </w:p>
    <w:p w:rsidR="00217AC7" w:rsidRPr="005F10A7" w:rsidRDefault="005F10A7" w:rsidP="005F10A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5F10A7">
        <w:rPr>
          <w:rFonts w:ascii="Arial" w:hAnsi="Arial" w:cs="Arial"/>
          <w:b/>
          <w:sz w:val="32"/>
          <w:szCs w:val="32"/>
        </w:rPr>
        <w:lastRenderedPageBreak/>
        <w:t>Contratos</w:t>
      </w:r>
    </w:p>
    <w:p w:rsidR="000C1160" w:rsidRPr="000C1160" w:rsidRDefault="000C1160" w:rsidP="000C1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Evolución dos contratos.</w:t>
      </w:r>
    </w:p>
    <w:tbl>
      <w:tblPr>
        <w:tblStyle w:val="Sombreadomedio2-nfasis11"/>
        <w:tblW w:w="11025" w:type="dxa"/>
        <w:tblInd w:w="-636" w:type="dxa"/>
        <w:tblLook w:val="04A0"/>
      </w:tblPr>
      <w:tblGrid>
        <w:gridCol w:w="2124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0C1160" w:rsidRPr="000C1160" w:rsidTr="002A5B7F">
        <w:trPr>
          <w:cnfStyle w:val="100000000000"/>
          <w:trHeight w:val="285"/>
        </w:trPr>
        <w:tc>
          <w:tcPr>
            <w:cnfStyle w:val="001000000100"/>
            <w:tcW w:w="0" w:type="auto"/>
            <w:noWrap/>
            <w:hideMark/>
          </w:tcPr>
          <w:p w:rsidR="000C1160" w:rsidRPr="000C1160" w:rsidRDefault="000C1160" w:rsidP="000C116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2007</w:t>
            </w:r>
          </w:p>
        </w:tc>
        <w:tc>
          <w:tcPr>
            <w:tcW w:w="0" w:type="auto"/>
            <w:hideMark/>
          </w:tcPr>
          <w:p w:rsidR="000C1160" w:rsidRPr="000C1160" w:rsidRDefault="000C1160" w:rsidP="000C116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2010</w:t>
            </w:r>
          </w:p>
        </w:tc>
        <w:tc>
          <w:tcPr>
            <w:tcW w:w="0" w:type="auto"/>
            <w:hideMark/>
          </w:tcPr>
          <w:p w:rsidR="000C1160" w:rsidRPr="000C1160" w:rsidRDefault="000C1160" w:rsidP="000C116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  <w:t>2015</w:t>
            </w:r>
          </w:p>
        </w:tc>
      </w:tr>
      <w:tr w:rsidR="000C1160" w:rsidRPr="000C1160" w:rsidTr="002A5B7F">
        <w:trPr>
          <w:cnfStyle w:val="000000100000"/>
          <w:trHeight w:val="270"/>
        </w:trPr>
        <w:tc>
          <w:tcPr>
            <w:cnfStyle w:val="001000000000"/>
            <w:tcW w:w="0" w:type="auto"/>
            <w:noWrap/>
            <w:hideMark/>
          </w:tcPr>
          <w:p w:rsidR="000C1160" w:rsidRPr="000C1160" w:rsidRDefault="000C1160" w:rsidP="000C116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Temporais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765.924</w:t>
            </w:r>
          </w:p>
        </w:tc>
        <w:tc>
          <w:tcPr>
            <w:tcW w:w="0" w:type="auto"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706.093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616.089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Cs/>
                <w:sz w:val="20"/>
                <w:szCs w:val="20"/>
              </w:rPr>
              <w:t>620.612</w:t>
            </w:r>
          </w:p>
        </w:tc>
        <w:tc>
          <w:tcPr>
            <w:tcW w:w="0" w:type="auto"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617.807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610236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653313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724404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813088</w:t>
            </w:r>
          </w:p>
        </w:tc>
      </w:tr>
      <w:tr w:rsidR="000C1160" w:rsidRPr="000C1160" w:rsidTr="002A5B7F">
        <w:trPr>
          <w:trHeight w:val="270"/>
        </w:trPr>
        <w:tc>
          <w:tcPr>
            <w:cnfStyle w:val="001000000000"/>
            <w:tcW w:w="0" w:type="auto"/>
            <w:noWrap/>
            <w:hideMark/>
          </w:tcPr>
          <w:p w:rsidR="000C1160" w:rsidRPr="000C1160" w:rsidRDefault="000C1160" w:rsidP="000C116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Indefinidos iniciais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49.542</w:t>
            </w:r>
          </w:p>
        </w:tc>
        <w:tc>
          <w:tcPr>
            <w:tcW w:w="0" w:type="auto"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46.423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37.468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32.460</w:t>
            </w:r>
          </w:p>
        </w:tc>
        <w:tc>
          <w:tcPr>
            <w:tcW w:w="0" w:type="auto"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28.479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1B0CE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="001B0CE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C1160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  <w:r w:rsidR="001B0C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709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  <w:r w:rsidR="001B0C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672</w:t>
            </w:r>
          </w:p>
        </w:tc>
      </w:tr>
      <w:tr w:rsidR="000C1160" w:rsidRPr="000C1160" w:rsidTr="002A5B7F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0C1160" w:rsidRDefault="000C1160" w:rsidP="000C116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Convertidos en</w:t>
            </w:r>
          </w:p>
          <w:p w:rsidR="000C1160" w:rsidRPr="000C1160" w:rsidRDefault="000C1160" w:rsidP="000C116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indefinidos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49166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41654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  <w:r w:rsidR="001B0C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574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  <w:r w:rsidR="001B0C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552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  <w:r w:rsidR="001B0C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163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  <w:r w:rsidR="001B0C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583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  <w:r w:rsidR="001B0C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271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  <w:r w:rsidR="001B0C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077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  <w:r w:rsidR="001B0C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C11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167</w:t>
            </w:r>
          </w:p>
        </w:tc>
      </w:tr>
      <w:tr w:rsidR="000C1160" w:rsidRPr="000C1160" w:rsidTr="002A5B7F">
        <w:trPr>
          <w:trHeight w:val="255"/>
        </w:trPr>
        <w:tc>
          <w:tcPr>
            <w:cnfStyle w:val="001000000000"/>
            <w:tcW w:w="0" w:type="auto"/>
            <w:noWrap/>
            <w:hideMark/>
          </w:tcPr>
          <w:p w:rsidR="000C1160" w:rsidRPr="000C1160" w:rsidRDefault="000C1160" w:rsidP="000C1160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 w:val="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864.632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794.170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683.131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680.624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671.449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662.328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706.778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786.190</w:t>
            </w:r>
          </w:p>
        </w:tc>
        <w:tc>
          <w:tcPr>
            <w:tcW w:w="0" w:type="auto"/>
            <w:noWrap/>
            <w:hideMark/>
          </w:tcPr>
          <w:p w:rsidR="000C1160" w:rsidRPr="000C1160" w:rsidRDefault="000C1160" w:rsidP="000C1160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116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877.927</w:t>
            </w:r>
          </w:p>
        </w:tc>
      </w:tr>
    </w:tbl>
    <w:p w:rsidR="000C1160" w:rsidRDefault="000C1160" w:rsidP="000C1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Servizo Público de emprego estatal.</w:t>
      </w:r>
    </w:p>
    <w:p w:rsidR="000C1160" w:rsidRDefault="000C1160" w:rsidP="000C1160">
      <w:pPr>
        <w:rPr>
          <w:rFonts w:ascii="Arial" w:hAnsi="Arial" w:cs="Arial"/>
          <w:b/>
          <w:sz w:val="32"/>
          <w:szCs w:val="32"/>
        </w:rPr>
      </w:pPr>
      <w:r w:rsidRPr="000C1160"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4572000" cy="27432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139F" w:rsidRDefault="00DE1F30" w:rsidP="000C1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5A688F" w:rsidRPr="005A688F">
        <w:rPr>
          <w:rFonts w:ascii="Arial" w:hAnsi="Arial" w:cs="Arial"/>
          <w:sz w:val="24"/>
          <w:szCs w:val="24"/>
        </w:rPr>
        <w:t xml:space="preserve"> longo de 2015</w:t>
      </w:r>
      <w:r w:rsidR="005A688F">
        <w:rPr>
          <w:rFonts w:ascii="Arial" w:hAnsi="Arial" w:cs="Arial"/>
          <w:sz w:val="24"/>
          <w:szCs w:val="24"/>
        </w:rPr>
        <w:t xml:space="preserve"> acadouse unha cifra </w:t>
      </w:r>
      <w:r w:rsidR="0037759D">
        <w:rPr>
          <w:rFonts w:ascii="Arial" w:hAnsi="Arial" w:cs="Arial"/>
          <w:sz w:val="24"/>
          <w:szCs w:val="24"/>
        </w:rPr>
        <w:t>récord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5A688F">
        <w:rPr>
          <w:rFonts w:ascii="Arial" w:hAnsi="Arial" w:cs="Arial"/>
          <w:sz w:val="24"/>
          <w:szCs w:val="24"/>
        </w:rPr>
        <w:t xml:space="preserve">de contratación, </w:t>
      </w:r>
      <w:r>
        <w:rPr>
          <w:rFonts w:ascii="Arial" w:hAnsi="Arial" w:cs="Arial"/>
          <w:sz w:val="24"/>
          <w:szCs w:val="24"/>
        </w:rPr>
        <w:t>a</w:t>
      </w:r>
      <w:r w:rsidR="005A688F">
        <w:rPr>
          <w:rFonts w:ascii="Arial" w:hAnsi="Arial" w:cs="Arial"/>
          <w:sz w:val="24"/>
          <w:szCs w:val="24"/>
        </w:rPr>
        <w:t>o elevarse o número de contratos rexistrados nos oficinas do SEPE en G</w:t>
      </w:r>
      <w:r w:rsidR="00E0776D">
        <w:rPr>
          <w:rFonts w:ascii="Arial" w:hAnsi="Arial" w:cs="Arial"/>
          <w:sz w:val="24"/>
          <w:szCs w:val="24"/>
        </w:rPr>
        <w:t>aliza</w:t>
      </w:r>
      <w:r w:rsidR="005A688F">
        <w:rPr>
          <w:rFonts w:ascii="Arial" w:hAnsi="Arial" w:cs="Arial"/>
          <w:sz w:val="24"/>
          <w:szCs w:val="24"/>
        </w:rPr>
        <w:t xml:space="preserve"> a 877.927; o número máis elevado desde que dispomos de datos.</w:t>
      </w:r>
    </w:p>
    <w:p w:rsidR="00902544" w:rsidRDefault="005A688F" w:rsidP="000C1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 w:rsidR="00DE1F30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o ano 2007, a contratación viña medrando ano a ano</w:t>
      </w:r>
      <w:r w:rsidR="00902544">
        <w:rPr>
          <w:rFonts w:ascii="Arial" w:hAnsi="Arial" w:cs="Arial"/>
          <w:sz w:val="24"/>
          <w:szCs w:val="24"/>
        </w:rPr>
        <w:t xml:space="preserve">, </w:t>
      </w:r>
      <w:r w:rsidR="00DE1F30">
        <w:rPr>
          <w:rFonts w:ascii="Arial" w:hAnsi="Arial" w:cs="Arial"/>
          <w:sz w:val="24"/>
          <w:szCs w:val="24"/>
        </w:rPr>
        <w:t>aínda que</w:t>
      </w:r>
      <w:r w:rsidR="00902544">
        <w:rPr>
          <w:rFonts w:ascii="Arial" w:hAnsi="Arial" w:cs="Arial"/>
          <w:sz w:val="24"/>
          <w:szCs w:val="24"/>
        </w:rPr>
        <w:t xml:space="preserve"> é certo </w:t>
      </w:r>
      <w:r w:rsidR="00DE1F30">
        <w:rPr>
          <w:rFonts w:ascii="Arial" w:hAnsi="Arial" w:cs="Arial"/>
          <w:sz w:val="24"/>
          <w:szCs w:val="24"/>
        </w:rPr>
        <w:t>que tamén medraba a ocupación. E</w:t>
      </w:r>
      <w:r w:rsidR="00902544">
        <w:rPr>
          <w:rFonts w:ascii="Arial" w:hAnsi="Arial" w:cs="Arial"/>
          <w:sz w:val="24"/>
          <w:szCs w:val="24"/>
        </w:rPr>
        <w:t xml:space="preserve"> o incremento do emprego non xustificaba un número tan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902544">
        <w:rPr>
          <w:rFonts w:ascii="Arial" w:hAnsi="Arial" w:cs="Arial"/>
          <w:sz w:val="24"/>
          <w:szCs w:val="24"/>
        </w:rPr>
        <w:t>elevado de contratos</w:t>
      </w:r>
      <w:r w:rsidR="00DE1F30">
        <w:rPr>
          <w:rFonts w:ascii="Arial" w:hAnsi="Arial" w:cs="Arial"/>
          <w:sz w:val="24"/>
          <w:szCs w:val="24"/>
        </w:rPr>
        <w:t>. E</w:t>
      </w:r>
      <w:r w:rsidR="00902544">
        <w:rPr>
          <w:rFonts w:ascii="Arial" w:hAnsi="Arial" w:cs="Arial"/>
          <w:sz w:val="24"/>
          <w:szCs w:val="24"/>
        </w:rPr>
        <w:t xml:space="preserve">ra, e segue sendo, </w:t>
      </w:r>
      <w:r w:rsidR="00B8018A">
        <w:rPr>
          <w:rFonts w:ascii="Arial" w:hAnsi="Arial" w:cs="Arial"/>
          <w:sz w:val="24"/>
          <w:szCs w:val="24"/>
        </w:rPr>
        <w:t>o cuantioso número de asalariados</w:t>
      </w:r>
      <w:r w:rsidR="00DE1F30">
        <w:rPr>
          <w:rFonts w:ascii="Arial" w:hAnsi="Arial" w:cs="Arial"/>
          <w:sz w:val="24"/>
          <w:szCs w:val="24"/>
        </w:rPr>
        <w:t>/as</w:t>
      </w:r>
      <w:r w:rsidR="00B8018A">
        <w:rPr>
          <w:rFonts w:ascii="Arial" w:hAnsi="Arial" w:cs="Arial"/>
          <w:sz w:val="24"/>
          <w:szCs w:val="24"/>
        </w:rPr>
        <w:t xml:space="preserve"> con contrato temporal</w:t>
      </w:r>
      <w:r w:rsidR="00DE1F30">
        <w:rPr>
          <w:rFonts w:ascii="Arial" w:hAnsi="Arial" w:cs="Arial"/>
          <w:sz w:val="24"/>
          <w:szCs w:val="24"/>
        </w:rPr>
        <w:t>,</w:t>
      </w:r>
      <w:r w:rsidR="00B8018A">
        <w:rPr>
          <w:rFonts w:ascii="Arial" w:hAnsi="Arial" w:cs="Arial"/>
          <w:sz w:val="24"/>
          <w:szCs w:val="24"/>
        </w:rPr>
        <w:t xml:space="preserve"> e con forte rotación no emprego, o que posibilitaba este </w:t>
      </w:r>
      <w:r w:rsidR="007B46C0">
        <w:rPr>
          <w:rFonts w:ascii="Arial" w:hAnsi="Arial" w:cs="Arial"/>
          <w:sz w:val="24"/>
          <w:szCs w:val="24"/>
        </w:rPr>
        <w:t>alto</w:t>
      </w:r>
      <w:r w:rsidR="00B8018A">
        <w:rPr>
          <w:rFonts w:ascii="Arial" w:hAnsi="Arial" w:cs="Arial"/>
          <w:sz w:val="24"/>
          <w:szCs w:val="24"/>
        </w:rPr>
        <w:t xml:space="preserve"> número de contratos.</w:t>
      </w:r>
    </w:p>
    <w:p w:rsidR="00E44CD7" w:rsidRDefault="00B91DC7" w:rsidP="000C1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ano 2015, estímanse en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E44CD7">
        <w:rPr>
          <w:rFonts w:ascii="Arial" w:hAnsi="Arial" w:cs="Arial"/>
          <w:sz w:val="24"/>
          <w:szCs w:val="24"/>
        </w:rPr>
        <w:t>203.500 os asalariados</w:t>
      </w:r>
      <w:r w:rsidR="00DE1F30">
        <w:rPr>
          <w:rFonts w:ascii="Arial" w:hAnsi="Arial" w:cs="Arial"/>
          <w:sz w:val="24"/>
          <w:szCs w:val="24"/>
        </w:rPr>
        <w:t>/as</w:t>
      </w:r>
      <w:r w:rsidR="00E44CD7">
        <w:rPr>
          <w:rFonts w:ascii="Arial" w:hAnsi="Arial" w:cs="Arial"/>
          <w:sz w:val="24"/>
          <w:szCs w:val="24"/>
        </w:rPr>
        <w:t xml:space="preserve"> con contrato temporal, os</w:t>
      </w:r>
      <w:r w:rsidR="00DE1F30">
        <w:rPr>
          <w:rFonts w:ascii="Arial" w:hAnsi="Arial" w:cs="Arial"/>
          <w:sz w:val="24"/>
          <w:szCs w:val="24"/>
        </w:rPr>
        <w:t>/as</w:t>
      </w:r>
      <w:r w:rsidR="00E44CD7">
        <w:rPr>
          <w:rFonts w:ascii="Arial" w:hAnsi="Arial" w:cs="Arial"/>
          <w:sz w:val="24"/>
          <w:szCs w:val="24"/>
        </w:rPr>
        <w:t xml:space="preserve"> cales repartiron os 813.088 contratos temporais rexistrados, o que nos d</w:t>
      </w:r>
      <w:r w:rsidR="00DE1F30">
        <w:rPr>
          <w:rFonts w:ascii="Arial" w:hAnsi="Arial" w:cs="Arial"/>
          <w:sz w:val="24"/>
          <w:szCs w:val="24"/>
        </w:rPr>
        <w:t>á</w:t>
      </w:r>
      <w:r w:rsidR="00E44CD7">
        <w:rPr>
          <w:rFonts w:ascii="Arial" w:hAnsi="Arial" w:cs="Arial"/>
          <w:sz w:val="24"/>
          <w:szCs w:val="24"/>
        </w:rPr>
        <w:t xml:space="preserve"> unha media de 4 contratos por traballador</w:t>
      </w:r>
      <w:r w:rsidR="00DE1F30">
        <w:rPr>
          <w:rFonts w:ascii="Arial" w:hAnsi="Arial" w:cs="Arial"/>
          <w:sz w:val="24"/>
          <w:szCs w:val="24"/>
        </w:rPr>
        <w:t>/a</w:t>
      </w:r>
      <w:r w:rsidR="00E44CD7">
        <w:rPr>
          <w:rFonts w:ascii="Arial" w:hAnsi="Arial" w:cs="Arial"/>
          <w:sz w:val="24"/>
          <w:szCs w:val="24"/>
        </w:rPr>
        <w:t xml:space="preserve"> e ano.</w:t>
      </w:r>
    </w:p>
    <w:p w:rsidR="00B8018A" w:rsidRDefault="00B8018A" w:rsidP="000C1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o ano 2007, e at</w:t>
      </w:r>
      <w:r w:rsidR="00DE1F30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2013, baixa lixeiramente o rexistro de contratos, pero no peor dos casos estamos falando de máis de 660.000 contratos rexistrados nun </w:t>
      </w:r>
      <w:r>
        <w:rPr>
          <w:rFonts w:ascii="Arial" w:hAnsi="Arial" w:cs="Arial"/>
          <w:sz w:val="24"/>
          <w:szCs w:val="24"/>
        </w:rPr>
        <w:lastRenderedPageBreak/>
        <w:t>ano. A partir deste ano volve medrar at</w:t>
      </w:r>
      <w:r w:rsidR="00DE1F30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DE1F3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2015 acadar unha cifra </w:t>
      </w:r>
      <w:r w:rsidR="0037759D">
        <w:rPr>
          <w:rFonts w:ascii="Arial" w:hAnsi="Arial" w:cs="Arial"/>
          <w:sz w:val="24"/>
          <w:szCs w:val="24"/>
        </w:rPr>
        <w:t>récord</w:t>
      </w:r>
      <w:r>
        <w:rPr>
          <w:rFonts w:ascii="Arial" w:hAnsi="Arial" w:cs="Arial"/>
          <w:sz w:val="24"/>
          <w:szCs w:val="24"/>
        </w:rPr>
        <w:t xml:space="preserve">; cifra que se </w:t>
      </w:r>
      <w:r w:rsidR="00DE1F30">
        <w:rPr>
          <w:rFonts w:ascii="Arial" w:hAnsi="Arial" w:cs="Arial"/>
          <w:sz w:val="24"/>
          <w:szCs w:val="24"/>
        </w:rPr>
        <w:t>logra</w:t>
      </w:r>
      <w:r>
        <w:rPr>
          <w:rFonts w:ascii="Arial" w:hAnsi="Arial" w:cs="Arial"/>
          <w:sz w:val="24"/>
          <w:szCs w:val="24"/>
        </w:rPr>
        <w:t xml:space="preserve"> en virtude da inxente cifra de contratos rexistrados baixo algunha modalidade de contratación temporal.</w:t>
      </w:r>
    </w:p>
    <w:p w:rsidR="005A688F" w:rsidRDefault="001B0CE0" w:rsidP="000C1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gráfico ofrécenos unha visión moi clara de </w:t>
      </w:r>
      <w:r w:rsidR="00C52A82">
        <w:rPr>
          <w:rFonts w:ascii="Arial" w:hAnsi="Arial" w:cs="Arial"/>
          <w:sz w:val="24"/>
          <w:szCs w:val="24"/>
        </w:rPr>
        <w:t>exposto; tanto do peso dos contratos temporais, como da variación no período. Desde o ano 2008, en ningún caso, os contratos indefinidos superaron</w:t>
      </w:r>
      <w:r w:rsidR="00E0776D">
        <w:rPr>
          <w:rFonts w:ascii="Arial" w:hAnsi="Arial" w:cs="Arial"/>
          <w:sz w:val="24"/>
          <w:szCs w:val="24"/>
        </w:rPr>
        <w:t xml:space="preserve"> ao </w:t>
      </w:r>
      <w:r w:rsidR="00DE1F30">
        <w:rPr>
          <w:rFonts w:ascii="Arial" w:hAnsi="Arial" w:cs="Arial"/>
          <w:sz w:val="24"/>
          <w:szCs w:val="24"/>
        </w:rPr>
        <w:t>10% do total. É</w:t>
      </w:r>
      <w:r w:rsidR="00C52A82">
        <w:rPr>
          <w:rFonts w:ascii="Arial" w:hAnsi="Arial" w:cs="Arial"/>
          <w:sz w:val="24"/>
          <w:szCs w:val="24"/>
        </w:rPr>
        <w:t xml:space="preserve"> máis, desde que volveu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C52A82">
        <w:rPr>
          <w:rFonts w:ascii="Arial" w:hAnsi="Arial" w:cs="Arial"/>
          <w:sz w:val="24"/>
          <w:szCs w:val="24"/>
        </w:rPr>
        <w:t>a medrar a contratación, o peso dos indefinido</w:t>
      </w:r>
      <w:r w:rsidR="00DE1F30">
        <w:rPr>
          <w:rFonts w:ascii="Arial" w:hAnsi="Arial" w:cs="Arial"/>
          <w:sz w:val="24"/>
          <w:szCs w:val="24"/>
        </w:rPr>
        <w:t>s</w:t>
      </w:r>
      <w:r w:rsidR="00C52A82">
        <w:rPr>
          <w:rFonts w:ascii="Arial" w:hAnsi="Arial" w:cs="Arial"/>
          <w:sz w:val="24"/>
          <w:szCs w:val="24"/>
        </w:rPr>
        <w:t xml:space="preserve"> descendeu, at</w:t>
      </w:r>
      <w:r w:rsidR="00DE1F30">
        <w:rPr>
          <w:rFonts w:ascii="Arial" w:hAnsi="Arial" w:cs="Arial"/>
          <w:sz w:val="24"/>
          <w:szCs w:val="24"/>
        </w:rPr>
        <w:t>é</w:t>
      </w:r>
      <w:r w:rsidR="00C52A82">
        <w:rPr>
          <w:rFonts w:ascii="Arial" w:hAnsi="Arial" w:cs="Arial"/>
          <w:sz w:val="24"/>
          <w:szCs w:val="24"/>
        </w:rPr>
        <w:t xml:space="preserve"> acadar no ano 2015 </w:t>
      </w:r>
      <w:r w:rsidR="00DE1F30">
        <w:rPr>
          <w:rFonts w:ascii="Arial" w:hAnsi="Arial" w:cs="Arial"/>
          <w:sz w:val="24"/>
          <w:szCs w:val="24"/>
        </w:rPr>
        <w:t>apenas</w:t>
      </w:r>
      <w:r w:rsidR="00C52A82">
        <w:rPr>
          <w:rFonts w:ascii="Arial" w:hAnsi="Arial" w:cs="Arial"/>
          <w:sz w:val="24"/>
          <w:szCs w:val="24"/>
        </w:rPr>
        <w:t xml:space="preserve"> o 7,6% do total</w:t>
      </w:r>
      <w:r w:rsidR="00DE1F30">
        <w:rPr>
          <w:rFonts w:ascii="Arial" w:hAnsi="Arial" w:cs="Arial"/>
          <w:sz w:val="24"/>
          <w:szCs w:val="24"/>
        </w:rPr>
        <w:t>. Ev</w:t>
      </w:r>
      <w:r w:rsidR="00C52A82">
        <w:rPr>
          <w:rFonts w:ascii="Arial" w:hAnsi="Arial" w:cs="Arial"/>
          <w:sz w:val="24"/>
          <w:szCs w:val="24"/>
        </w:rPr>
        <w:t>identemente</w:t>
      </w:r>
      <w:r w:rsidR="00DE1F30">
        <w:rPr>
          <w:rFonts w:ascii="Arial" w:hAnsi="Arial" w:cs="Arial"/>
          <w:sz w:val="24"/>
          <w:szCs w:val="24"/>
        </w:rPr>
        <w:t>,</w:t>
      </w:r>
      <w:r w:rsidR="00C52A82">
        <w:rPr>
          <w:rFonts w:ascii="Arial" w:hAnsi="Arial" w:cs="Arial"/>
          <w:sz w:val="24"/>
          <w:szCs w:val="24"/>
        </w:rPr>
        <w:t xml:space="preserve"> isto agocha unha forte rotación do emprego e unha escasa duración dos contratos.</w:t>
      </w:r>
      <w:r w:rsidR="003F25FE">
        <w:rPr>
          <w:rFonts w:ascii="Arial" w:hAnsi="Arial" w:cs="Arial"/>
          <w:sz w:val="24"/>
          <w:szCs w:val="24"/>
        </w:rPr>
        <w:t xml:space="preserve"> Os datos do seguinte cadro así nolo indican.</w:t>
      </w:r>
    </w:p>
    <w:p w:rsidR="003F25FE" w:rsidRDefault="003F25FE" w:rsidP="000C1160">
      <w:pPr>
        <w:rPr>
          <w:rFonts w:ascii="Arial" w:hAnsi="Arial" w:cs="Arial"/>
          <w:sz w:val="24"/>
          <w:szCs w:val="24"/>
        </w:rPr>
      </w:pPr>
    </w:p>
    <w:p w:rsidR="003F25FE" w:rsidRDefault="003F25FE" w:rsidP="003F2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Contratos iniciais rexistrados segundo duración.</w:t>
      </w:r>
    </w:p>
    <w:tbl>
      <w:tblPr>
        <w:tblStyle w:val="Sombreadomedio2-nfasis11"/>
        <w:tblW w:w="8956" w:type="dxa"/>
        <w:tblLook w:val="04A0"/>
      </w:tblPr>
      <w:tblGrid>
        <w:gridCol w:w="2868"/>
        <w:gridCol w:w="1208"/>
        <w:gridCol w:w="1208"/>
        <w:gridCol w:w="1228"/>
        <w:gridCol w:w="1228"/>
        <w:gridCol w:w="1216"/>
      </w:tblGrid>
      <w:tr w:rsidR="003F25FE" w:rsidRPr="00E80F4F" w:rsidTr="00397BAB">
        <w:trPr>
          <w:cnfStyle w:val="100000000000"/>
          <w:trHeight w:val="255"/>
        </w:trPr>
        <w:tc>
          <w:tcPr>
            <w:cnfStyle w:val="001000000100"/>
            <w:tcW w:w="2868" w:type="dxa"/>
            <w:noWrap/>
            <w:hideMark/>
          </w:tcPr>
          <w:p w:rsidR="003F25FE" w:rsidRPr="00E80F4F" w:rsidRDefault="003F25FE" w:rsidP="008018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% total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5FE" w:rsidRPr="00E80F4F" w:rsidTr="00397BAB">
        <w:trPr>
          <w:cnfStyle w:val="000000100000"/>
          <w:trHeight w:val="255"/>
        </w:trPr>
        <w:tc>
          <w:tcPr>
            <w:cnfStyle w:val="001000000000"/>
            <w:tcW w:w="2868" w:type="dxa"/>
            <w:noWrap/>
            <w:hideMark/>
          </w:tcPr>
          <w:p w:rsidR="003F25FE" w:rsidRPr="00E80F4F" w:rsidRDefault="003F25FE" w:rsidP="008018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Variación</w:t>
            </w:r>
          </w:p>
        </w:tc>
      </w:tr>
      <w:tr w:rsidR="003F25FE" w:rsidRPr="00E80F4F" w:rsidTr="00397BAB">
        <w:trPr>
          <w:trHeight w:val="255"/>
        </w:trPr>
        <w:tc>
          <w:tcPr>
            <w:cnfStyle w:val="001000000000"/>
            <w:tcW w:w="2868" w:type="dxa"/>
            <w:hideMark/>
          </w:tcPr>
          <w:p w:rsidR="003F25FE" w:rsidRPr="00E80F4F" w:rsidRDefault="003F25FE" w:rsidP="0080183C">
            <w:pPr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783.152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874.643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11,7</w:t>
            </w:r>
          </w:p>
        </w:tc>
      </w:tr>
      <w:tr w:rsidR="003F25FE" w:rsidRPr="00E80F4F" w:rsidTr="00397BAB">
        <w:trPr>
          <w:cnfStyle w:val="000000100000"/>
          <w:trHeight w:val="255"/>
        </w:trPr>
        <w:tc>
          <w:tcPr>
            <w:cnfStyle w:val="001000000000"/>
            <w:tcW w:w="2868" w:type="dxa"/>
            <w:hideMark/>
          </w:tcPr>
          <w:p w:rsidR="003F25FE" w:rsidRPr="00E80F4F" w:rsidRDefault="003F25FE" w:rsidP="0080183C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b w:val="0"/>
                <w:sz w:val="20"/>
                <w:szCs w:val="20"/>
              </w:rPr>
              <w:t>Indefinidos</w:t>
            </w: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41.211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42.660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5,3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4,9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</w:tr>
      <w:tr w:rsidR="003F25FE" w:rsidRPr="00E80F4F" w:rsidTr="00397BAB">
        <w:trPr>
          <w:trHeight w:val="255"/>
        </w:trPr>
        <w:tc>
          <w:tcPr>
            <w:cnfStyle w:val="001000000000"/>
            <w:tcW w:w="2868" w:type="dxa"/>
            <w:hideMark/>
          </w:tcPr>
          <w:p w:rsidR="003F25FE" w:rsidRPr="00E80F4F" w:rsidRDefault="003F25FE" w:rsidP="0080183C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b w:val="0"/>
                <w:sz w:val="20"/>
                <w:szCs w:val="20"/>
              </w:rPr>
              <w:t>Temporais</w:t>
            </w: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741.941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831.983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94,7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95,1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</w:tr>
      <w:tr w:rsidR="003F25FE" w:rsidRPr="00E80F4F" w:rsidTr="00397BAB">
        <w:trPr>
          <w:cnfStyle w:val="000000100000"/>
          <w:trHeight w:val="255"/>
        </w:trPr>
        <w:tc>
          <w:tcPr>
            <w:cnfStyle w:val="001000000000"/>
            <w:tcW w:w="2868" w:type="dxa"/>
            <w:hideMark/>
          </w:tcPr>
          <w:p w:rsidR="003F25FE" w:rsidRPr="00E80F4F" w:rsidRDefault="00E0776D" w:rsidP="008018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F25FE" w:rsidRPr="00E80F4F">
              <w:rPr>
                <w:rFonts w:ascii="Arial" w:eastAsia="Times New Roman" w:hAnsi="Arial" w:cs="Arial"/>
                <w:sz w:val="20"/>
                <w:szCs w:val="20"/>
              </w:rPr>
              <w:t> Menos de 1 semana</w:t>
            </w: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235.208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268.941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30,7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14,3</w:t>
            </w:r>
          </w:p>
        </w:tc>
      </w:tr>
      <w:tr w:rsidR="003F25FE" w:rsidRPr="00E80F4F" w:rsidTr="00397BAB">
        <w:trPr>
          <w:trHeight w:val="255"/>
        </w:trPr>
        <w:tc>
          <w:tcPr>
            <w:cnfStyle w:val="001000000000"/>
            <w:tcW w:w="2868" w:type="dxa"/>
            <w:hideMark/>
          </w:tcPr>
          <w:p w:rsidR="003F25FE" w:rsidRPr="00E80F4F" w:rsidRDefault="00E0776D" w:rsidP="008018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F25FE" w:rsidRPr="00E80F4F">
              <w:rPr>
                <w:rFonts w:ascii="Arial" w:eastAsia="Times New Roman" w:hAnsi="Arial" w:cs="Arial"/>
                <w:sz w:val="20"/>
                <w:szCs w:val="20"/>
              </w:rPr>
              <w:t> De 1 semana a 1 mes</w:t>
            </w: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88.761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95.114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10,9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7,2</w:t>
            </w:r>
          </w:p>
        </w:tc>
      </w:tr>
      <w:tr w:rsidR="003F25FE" w:rsidRPr="00E80F4F" w:rsidTr="00397BAB">
        <w:trPr>
          <w:cnfStyle w:val="000000100000"/>
          <w:trHeight w:val="255"/>
        </w:trPr>
        <w:tc>
          <w:tcPr>
            <w:cnfStyle w:val="001000000000"/>
            <w:tcW w:w="2868" w:type="dxa"/>
            <w:hideMark/>
          </w:tcPr>
          <w:p w:rsidR="003F25FE" w:rsidRPr="00E80F4F" w:rsidRDefault="00E0776D" w:rsidP="008018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F25FE" w:rsidRPr="00E80F4F">
              <w:rPr>
                <w:rFonts w:ascii="Arial" w:eastAsia="Times New Roman" w:hAnsi="Arial" w:cs="Arial"/>
                <w:sz w:val="20"/>
                <w:szCs w:val="20"/>
              </w:rPr>
              <w:t> De 1 a 6 meses</w:t>
            </w: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129.750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148.153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16,6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16,9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14,2</w:t>
            </w:r>
          </w:p>
        </w:tc>
      </w:tr>
      <w:tr w:rsidR="003F25FE" w:rsidRPr="00E80F4F" w:rsidTr="00397BAB">
        <w:trPr>
          <w:trHeight w:val="255"/>
        </w:trPr>
        <w:tc>
          <w:tcPr>
            <w:cnfStyle w:val="001000000000"/>
            <w:tcW w:w="2868" w:type="dxa"/>
            <w:hideMark/>
          </w:tcPr>
          <w:p w:rsidR="003F25FE" w:rsidRPr="00E80F4F" w:rsidRDefault="00E0776D" w:rsidP="008018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F25FE" w:rsidRPr="00E80F4F">
              <w:rPr>
                <w:rFonts w:ascii="Arial" w:eastAsia="Times New Roman" w:hAnsi="Arial" w:cs="Arial"/>
                <w:sz w:val="20"/>
                <w:szCs w:val="20"/>
              </w:rPr>
              <w:t> De 6 meses a 1 ano</w:t>
            </w: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21.520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24.422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</w:tr>
      <w:tr w:rsidR="003F25FE" w:rsidRPr="00E80F4F" w:rsidTr="00397BAB">
        <w:trPr>
          <w:cnfStyle w:val="000000100000"/>
          <w:trHeight w:val="255"/>
        </w:trPr>
        <w:tc>
          <w:tcPr>
            <w:cnfStyle w:val="001000000000"/>
            <w:tcW w:w="2868" w:type="dxa"/>
            <w:hideMark/>
          </w:tcPr>
          <w:p w:rsidR="003F25FE" w:rsidRPr="00E80F4F" w:rsidRDefault="00E0776D" w:rsidP="008018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F25FE" w:rsidRPr="00E80F4F">
              <w:rPr>
                <w:rFonts w:ascii="Arial" w:eastAsia="Times New Roman" w:hAnsi="Arial" w:cs="Arial"/>
                <w:sz w:val="20"/>
                <w:szCs w:val="20"/>
              </w:rPr>
              <w:t> Máis de 1 ano</w:t>
            </w: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3.099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2.730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-11,9</w:t>
            </w:r>
          </w:p>
        </w:tc>
      </w:tr>
      <w:tr w:rsidR="003F25FE" w:rsidRPr="00E80F4F" w:rsidTr="00397BAB">
        <w:trPr>
          <w:trHeight w:val="255"/>
        </w:trPr>
        <w:tc>
          <w:tcPr>
            <w:cnfStyle w:val="001000000000"/>
            <w:tcW w:w="2868" w:type="dxa"/>
            <w:hideMark/>
          </w:tcPr>
          <w:p w:rsidR="003F25FE" w:rsidRPr="00E80F4F" w:rsidRDefault="00E0776D" w:rsidP="008018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F25FE" w:rsidRPr="00E80F4F">
              <w:rPr>
                <w:rFonts w:ascii="Arial" w:eastAsia="Times New Roman" w:hAnsi="Arial" w:cs="Arial"/>
                <w:sz w:val="20"/>
                <w:szCs w:val="20"/>
              </w:rPr>
              <w:t> Indeterminado</w:t>
            </w: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263.603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292.623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33,7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33,5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80F4F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</w:tr>
      <w:tr w:rsidR="003F25FE" w:rsidRPr="00E80F4F" w:rsidTr="00397BAB">
        <w:trPr>
          <w:cnfStyle w:val="000000100000"/>
          <w:trHeight w:val="255"/>
        </w:trPr>
        <w:tc>
          <w:tcPr>
            <w:cnfStyle w:val="001000000000"/>
            <w:tcW w:w="2868" w:type="dxa"/>
            <w:noWrap/>
            <w:hideMark/>
          </w:tcPr>
          <w:p w:rsidR="003F25FE" w:rsidRPr="00E80F4F" w:rsidRDefault="003F25FE" w:rsidP="008018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3F25FE" w:rsidRPr="00E80F4F" w:rsidRDefault="003F25FE" w:rsidP="0080183C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noWrap/>
            <w:hideMark/>
          </w:tcPr>
          <w:p w:rsidR="003F25FE" w:rsidRPr="00E80F4F" w:rsidRDefault="003F25FE" w:rsidP="0080183C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F25FE" w:rsidRDefault="003F25FE" w:rsidP="003F2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Servizo Público de emprego estatal.</w:t>
      </w:r>
    </w:p>
    <w:p w:rsidR="00D03C9F" w:rsidRDefault="00963D34" w:rsidP="000C1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contratos que máis medraron no último ano foron os temporais, un 12,1%, fronte</w:t>
      </w:r>
      <w:r w:rsidR="00E0776D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medre do 3,5% dos indefinidos iniciais; e dentro dos temporais, son os de menor duración os que experimentan os maiores incrementos. Concretamente os contratos de menos dunha semana aumentan un 14,3%, e representa</w:t>
      </w:r>
      <w:r w:rsidR="00603ED4">
        <w:rPr>
          <w:rFonts w:ascii="Arial" w:hAnsi="Arial" w:cs="Arial"/>
          <w:sz w:val="24"/>
          <w:szCs w:val="24"/>
        </w:rPr>
        <w:t>n o 30,7% do total dos contratos.</w:t>
      </w:r>
      <w:r w:rsidR="00D03C9F">
        <w:rPr>
          <w:rFonts w:ascii="Arial" w:hAnsi="Arial" w:cs="Arial"/>
          <w:sz w:val="24"/>
          <w:szCs w:val="24"/>
        </w:rPr>
        <w:t xml:space="preserve"> Se o intervalo de referencia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D03C9F">
        <w:rPr>
          <w:rFonts w:ascii="Arial" w:hAnsi="Arial" w:cs="Arial"/>
          <w:sz w:val="24"/>
          <w:szCs w:val="24"/>
        </w:rPr>
        <w:t>é at</w:t>
      </w:r>
      <w:r w:rsidR="00DE1F30">
        <w:rPr>
          <w:rFonts w:ascii="Arial" w:hAnsi="Arial" w:cs="Arial"/>
          <w:sz w:val="24"/>
          <w:szCs w:val="24"/>
        </w:rPr>
        <w:t>é</w:t>
      </w:r>
      <w:r w:rsidR="00D03C9F">
        <w:rPr>
          <w:rFonts w:ascii="Arial" w:hAnsi="Arial" w:cs="Arial"/>
          <w:sz w:val="24"/>
          <w:szCs w:val="24"/>
        </w:rPr>
        <w:t xml:space="preserve"> os 6 meses, ab</w:t>
      </w:r>
      <w:r w:rsidR="00DE1F30">
        <w:rPr>
          <w:rFonts w:ascii="Arial" w:hAnsi="Arial" w:cs="Arial"/>
          <w:sz w:val="24"/>
          <w:szCs w:val="24"/>
        </w:rPr>
        <w:t>ranguemo</w:t>
      </w:r>
      <w:r w:rsidR="00D03C9F">
        <w:rPr>
          <w:rFonts w:ascii="Arial" w:hAnsi="Arial" w:cs="Arial"/>
          <w:sz w:val="24"/>
          <w:szCs w:val="24"/>
        </w:rPr>
        <w:t>s</w:t>
      </w:r>
      <w:r w:rsidR="00E0776D">
        <w:rPr>
          <w:rFonts w:ascii="Arial" w:hAnsi="Arial" w:cs="Arial"/>
          <w:sz w:val="24"/>
          <w:szCs w:val="24"/>
        </w:rPr>
        <w:t xml:space="preserve"> o </w:t>
      </w:r>
      <w:r w:rsidR="00D03C9F">
        <w:rPr>
          <w:rFonts w:ascii="Arial" w:hAnsi="Arial" w:cs="Arial"/>
          <w:sz w:val="24"/>
          <w:szCs w:val="24"/>
        </w:rPr>
        <w:t xml:space="preserve">58,5% de </w:t>
      </w:r>
      <w:r w:rsidR="00DE1F30">
        <w:rPr>
          <w:rFonts w:ascii="Arial" w:hAnsi="Arial" w:cs="Arial"/>
          <w:sz w:val="24"/>
          <w:szCs w:val="24"/>
        </w:rPr>
        <w:t>todos os</w:t>
      </w:r>
      <w:r w:rsidR="00D03C9F">
        <w:rPr>
          <w:rFonts w:ascii="Arial" w:hAnsi="Arial" w:cs="Arial"/>
          <w:sz w:val="24"/>
          <w:szCs w:val="24"/>
        </w:rPr>
        <w:t xml:space="preserve"> contratos.</w:t>
      </w:r>
    </w:p>
    <w:p w:rsidR="005A688F" w:rsidRDefault="005A688F" w:rsidP="000C1160">
      <w:pPr>
        <w:rPr>
          <w:rFonts w:ascii="Arial" w:hAnsi="Arial" w:cs="Arial"/>
          <w:sz w:val="24"/>
          <w:szCs w:val="24"/>
        </w:rPr>
      </w:pPr>
    </w:p>
    <w:p w:rsidR="005A688F" w:rsidRDefault="00963D34" w:rsidP="000C1160">
      <w:pPr>
        <w:rPr>
          <w:rFonts w:ascii="Arial" w:hAnsi="Arial" w:cs="Arial"/>
          <w:sz w:val="24"/>
          <w:szCs w:val="24"/>
        </w:rPr>
      </w:pPr>
      <w:r w:rsidRPr="00963D34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688F" w:rsidRDefault="002073B9" w:rsidP="000C1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Novamente</w:t>
      </w:r>
      <w:r w:rsidR="00DE1F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gráfico ilústranos cales son os de maior peso e cales medran.</w:t>
      </w:r>
    </w:p>
    <w:p w:rsidR="00E67852" w:rsidRDefault="00E67852" w:rsidP="00E67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non fo</w:t>
      </w:r>
      <w:r w:rsidR="00D4636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polos indeterminados </w:t>
      </w:r>
      <w:r w:rsidR="00E077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que algúns poden ter unha duración moi escasa), os de menos dunha semana serían os máis numerosos e os que máis se incrementaron en 2015. </w:t>
      </w:r>
    </w:p>
    <w:p w:rsidR="00E67852" w:rsidRDefault="00E67852" w:rsidP="00E67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 máis de 6 meses de duración teñen pouca incidencia, e apenas medraron no último ano con respecto a 2014.</w:t>
      </w:r>
    </w:p>
    <w:p w:rsidR="00E67852" w:rsidRDefault="009B7FEE" w:rsidP="00E67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 duración indeterminada</w:t>
      </w:r>
      <w:r w:rsidR="001767EC">
        <w:rPr>
          <w:rFonts w:ascii="Arial" w:hAnsi="Arial" w:cs="Arial"/>
          <w:sz w:val="24"/>
          <w:szCs w:val="24"/>
        </w:rPr>
        <w:t xml:space="preserve"> están moi ligados </w:t>
      </w:r>
      <w:r w:rsidR="00D4636B">
        <w:rPr>
          <w:rFonts w:ascii="Arial" w:hAnsi="Arial" w:cs="Arial"/>
          <w:sz w:val="24"/>
          <w:szCs w:val="24"/>
        </w:rPr>
        <w:t>a</w:t>
      </w:r>
      <w:r w:rsidR="001767EC">
        <w:rPr>
          <w:rFonts w:ascii="Arial" w:hAnsi="Arial" w:cs="Arial"/>
          <w:sz w:val="24"/>
          <w:szCs w:val="24"/>
        </w:rPr>
        <w:t xml:space="preserve">os contratos por obra ou servizo determinada </w:t>
      </w:r>
      <w:r w:rsidR="000424A7">
        <w:rPr>
          <w:rFonts w:ascii="Arial" w:hAnsi="Arial" w:cs="Arial"/>
          <w:sz w:val="24"/>
          <w:szCs w:val="24"/>
        </w:rPr>
        <w:t>(</w:t>
      </w:r>
      <w:r w:rsidR="001767EC">
        <w:rPr>
          <w:rFonts w:ascii="Arial" w:hAnsi="Arial" w:cs="Arial"/>
          <w:sz w:val="24"/>
          <w:szCs w:val="24"/>
        </w:rPr>
        <w:t>tamén os eventuais por circunstancias da produción</w:t>
      </w:r>
      <w:r w:rsidR="000424A7">
        <w:rPr>
          <w:rFonts w:ascii="Arial" w:hAnsi="Arial" w:cs="Arial"/>
          <w:sz w:val="24"/>
          <w:szCs w:val="24"/>
        </w:rPr>
        <w:t>)</w:t>
      </w:r>
      <w:r w:rsidR="001D5B09">
        <w:rPr>
          <w:rFonts w:ascii="Arial" w:hAnsi="Arial" w:cs="Arial"/>
          <w:sz w:val="24"/>
          <w:szCs w:val="24"/>
        </w:rPr>
        <w:t xml:space="preserve">, </w:t>
      </w:r>
      <w:r w:rsidR="001767EC">
        <w:rPr>
          <w:rFonts w:ascii="Arial" w:hAnsi="Arial" w:cs="Arial"/>
          <w:sz w:val="24"/>
          <w:szCs w:val="24"/>
        </w:rPr>
        <w:t xml:space="preserve">que como o seu propio nome indica están suxeitos á duración da obra para a que foron contratados, </w:t>
      </w:r>
      <w:r w:rsidR="00E44CD7">
        <w:rPr>
          <w:rFonts w:ascii="Arial" w:hAnsi="Arial" w:cs="Arial"/>
          <w:sz w:val="24"/>
          <w:szCs w:val="24"/>
        </w:rPr>
        <w:t>descoñecéndose</w:t>
      </w:r>
      <w:r w:rsidR="001767EC">
        <w:rPr>
          <w:rFonts w:ascii="Arial" w:hAnsi="Arial" w:cs="Arial"/>
          <w:sz w:val="24"/>
          <w:szCs w:val="24"/>
        </w:rPr>
        <w:t>, a priori, a duración d</w:t>
      </w:r>
      <w:r w:rsidR="00D4636B">
        <w:rPr>
          <w:rFonts w:ascii="Arial" w:hAnsi="Arial" w:cs="Arial"/>
          <w:sz w:val="24"/>
          <w:szCs w:val="24"/>
        </w:rPr>
        <w:t>esta;</w:t>
      </w:r>
      <w:r w:rsidR="001767EC">
        <w:rPr>
          <w:rFonts w:ascii="Arial" w:hAnsi="Arial" w:cs="Arial"/>
          <w:sz w:val="24"/>
          <w:szCs w:val="24"/>
        </w:rPr>
        <w:t xml:space="preserve"> de aí</w:t>
      </w:r>
      <w:r w:rsidR="00D4636B">
        <w:rPr>
          <w:rFonts w:ascii="Arial" w:hAnsi="Arial" w:cs="Arial"/>
          <w:sz w:val="24"/>
          <w:szCs w:val="24"/>
        </w:rPr>
        <w:t>,</w:t>
      </w:r>
      <w:r w:rsidR="001767EC">
        <w:rPr>
          <w:rFonts w:ascii="Arial" w:hAnsi="Arial" w:cs="Arial"/>
          <w:sz w:val="24"/>
          <w:szCs w:val="24"/>
        </w:rPr>
        <w:t xml:space="preserve"> a súa indeterminación no contrato. </w:t>
      </w:r>
      <w:r w:rsidR="001D5B09">
        <w:rPr>
          <w:rFonts w:ascii="Arial" w:hAnsi="Arial" w:cs="Arial"/>
          <w:sz w:val="24"/>
          <w:szCs w:val="24"/>
        </w:rPr>
        <w:t xml:space="preserve">Aínda que existe consenso sobre a utilización fraudulenta en moitos casos destas modalidades, que no fondo agochan un contrato indefinido, </w:t>
      </w:r>
      <w:r w:rsidR="00D4636B">
        <w:rPr>
          <w:rFonts w:ascii="Arial" w:hAnsi="Arial" w:cs="Arial"/>
          <w:sz w:val="24"/>
          <w:szCs w:val="24"/>
        </w:rPr>
        <w:t>á</w:t>
      </w:r>
      <w:r w:rsidR="001D5B09">
        <w:rPr>
          <w:rFonts w:ascii="Arial" w:hAnsi="Arial" w:cs="Arial"/>
          <w:sz w:val="24"/>
          <w:szCs w:val="24"/>
        </w:rPr>
        <w:t xml:space="preserve"> hora de analizar os datos temos que aceptalos tal e como están rexistrados.</w:t>
      </w:r>
    </w:p>
    <w:p w:rsidR="00E67852" w:rsidRDefault="001D5B09" w:rsidP="000C1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dúas modalidades son </w:t>
      </w:r>
      <w:r w:rsidR="00D463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máis numerosas cada ano na contratación.</w:t>
      </w:r>
    </w:p>
    <w:p w:rsidR="001D5B09" w:rsidRDefault="001D5B09" w:rsidP="000C1160">
      <w:pPr>
        <w:rPr>
          <w:rFonts w:ascii="Arial" w:hAnsi="Arial" w:cs="Arial"/>
          <w:sz w:val="24"/>
          <w:szCs w:val="24"/>
        </w:rPr>
      </w:pPr>
    </w:p>
    <w:p w:rsidR="001D5B09" w:rsidRDefault="001D5B09" w:rsidP="000C1160">
      <w:pPr>
        <w:rPr>
          <w:rFonts w:ascii="Arial" w:hAnsi="Arial" w:cs="Arial"/>
          <w:sz w:val="24"/>
          <w:szCs w:val="24"/>
        </w:rPr>
      </w:pPr>
    </w:p>
    <w:p w:rsidR="00601E15" w:rsidRDefault="00601E15" w:rsidP="000C1160">
      <w:pPr>
        <w:rPr>
          <w:rFonts w:ascii="Arial" w:hAnsi="Arial" w:cs="Arial"/>
          <w:sz w:val="24"/>
          <w:szCs w:val="24"/>
        </w:rPr>
      </w:pPr>
    </w:p>
    <w:p w:rsidR="00601E15" w:rsidRDefault="00601E15" w:rsidP="000C1160">
      <w:pPr>
        <w:rPr>
          <w:rFonts w:ascii="Arial" w:hAnsi="Arial" w:cs="Arial"/>
          <w:sz w:val="24"/>
          <w:szCs w:val="24"/>
        </w:rPr>
      </w:pPr>
    </w:p>
    <w:p w:rsidR="002123F8" w:rsidRDefault="002123F8" w:rsidP="000C1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Contratos segundo modalidade de contratación.</w:t>
      </w:r>
    </w:p>
    <w:tbl>
      <w:tblPr>
        <w:tblStyle w:val="Sombreadomedio2-nfasis11"/>
        <w:tblW w:w="0" w:type="auto"/>
        <w:tblLook w:val="04A0"/>
      </w:tblPr>
      <w:tblGrid>
        <w:gridCol w:w="2537"/>
        <w:gridCol w:w="939"/>
        <w:gridCol w:w="939"/>
        <w:gridCol w:w="1117"/>
        <w:gridCol w:w="984"/>
        <w:gridCol w:w="816"/>
        <w:gridCol w:w="717"/>
      </w:tblGrid>
      <w:tr w:rsidR="000424A7" w:rsidRPr="000424A7" w:rsidTr="000424A7">
        <w:trPr>
          <w:cnfStyle w:val="100000000000"/>
          <w:trHeight w:val="255"/>
        </w:trPr>
        <w:tc>
          <w:tcPr>
            <w:cnfStyle w:val="0010000001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Variación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24A7" w:rsidRPr="000424A7" w:rsidTr="000424A7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cnfStyle w:val="0000001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1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1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b/>
                <w:sz w:val="20"/>
                <w:szCs w:val="20"/>
              </w:rPr>
              <w:t>Absoluta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1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b/>
                <w:sz w:val="20"/>
                <w:szCs w:val="20"/>
              </w:rPr>
              <w:t>Relativa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1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b/>
                <w:sz w:val="20"/>
                <w:szCs w:val="20"/>
              </w:rPr>
              <w:t>%total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cnfStyle w:val="0000001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424A7" w:rsidRPr="000424A7" w:rsidTr="000424A7">
        <w:trPr>
          <w:trHeight w:val="330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b/>
                <w:sz w:val="20"/>
                <w:szCs w:val="20"/>
              </w:rPr>
              <w:t>2015</w:t>
            </w:r>
          </w:p>
        </w:tc>
      </w:tr>
      <w:tr w:rsidR="000424A7" w:rsidRPr="000424A7" w:rsidTr="000424A7">
        <w:trPr>
          <w:cnfStyle w:val="000000100000"/>
          <w:trHeight w:val="34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Duración temporal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724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92,1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92,6</w:t>
            </w:r>
          </w:p>
        </w:tc>
      </w:tr>
      <w:tr w:rsidR="000424A7" w:rsidRPr="000424A7" w:rsidTr="000424A7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Por obra ou serv.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9,8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35,3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34,7</w:t>
            </w:r>
          </w:p>
        </w:tc>
      </w:tr>
      <w:tr w:rsidR="000424A7" w:rsidRPr="000424A7" w:rsidTr="000424A7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Event. por c prod.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42,2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43,2</w:t>
            </w:r>
          </w:p>
        </w:tc>
      </w:tr>
      <w:tr w:rsidR="000424A7" w:rsidRPr="000424A7" w:rsidTr="000424A7">
        <w:trPr>
          <w:trHeight w:val="600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Interinidade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941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10,2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</w:tr>
      <w:tr w:rsidR="000424A7" w:rsidRPr="000424A7" w:rsidTr="000424A7">
        <w:trPr>
          <w:cnfStyle w:val="000000100000"/>
          <w:trHeight w:val="91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Temp</w:t>
            </w:r>
            <w:r w:rsidR="00086E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minusválidos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0424A7" w:rsidRPr="000424A7" w:rsidTr="000424A7">
        <w:trPr>
          <w:trHeight w:val="330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86EF3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0424A7" w:rsidRPr="000424A7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A0027F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0424A7" w:rsidRPr="000424A7">
              <w:rPr>
                <w:rFonts w:ascii="Arial" w:eastAsia="Times New Roman" w:hAnsi="Arial" w:cs="Arial"/>
                <w:sz w:val="18"/>
                <w:szCs w:val="18"/>
              </w:rPr>
              <w:t>stitución xubi. 64 anos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424A7" w:rsidRPr="000424A7" w:rsidTr="000424A7">
        <w:trPr>
          <w:cnfStyle w:val="000000100000"/>
          <w:trHeight w:val="270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86EF3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  <w:r w:rsidR="000424A7" w:rsidRPr="000424A7">
              <w:rPr>
                <w:rFonts w:ascii="Arial" w:eastAsia="Times New Roman" w:hAnsi="Arial" w:cs="Arial"/>
                <w:sz w:val="18"/>
                <w:szCs w:val="18"/>
              </w:rPr>
              <w:t>ubilación parcial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-7,2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0424A7" w:rsidRPr="000424A7" w:rsidTr="000424A7">
        <w:trPr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Formación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19,9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0424A7" w:rsidRPr="000424A7" w:rsidTr="000424A7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Prácticas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629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41,1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0424A7" w:rsidRPr="000424A7" w:rsidTr="000424A7">
        <w:trPr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De relevo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-272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-26,1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0424A7" w:rsidRPr="000424A7" w:rsidTr="000424A7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Outros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-864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-5,0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</w:tr>
      <w:tr w:rsidR="000424A7" w:rsidRPr="000424A7" w:rsidTr="000424A7">
        <w:trPr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424A7" w:rsidRPr="000424A7" w:rsidTr="000424A7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Duración indefinida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786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839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053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7,9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</w:tr>
      <w:tr w:rsidR="000424A7" w:rsidRPr="000424A7" w:rsidTr="000424A7">
        <w:trPr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Ind ordinarios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866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4,6</w:t>
            </w:r>
          </w:p>
        </w:tc>
      </w:tr>
      <w:tr w:rsidR="000424A7" w:rsidRPr="000424A7" w:rsidTr="000424A7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Minusválidos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0424A7" w:rsidRPr="000424A7" w:rsidTr="000424A7">
        <w:trPr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424A7" w:rsidRPr="000424A7" w:rsidTr="000424A7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424A7">
              <w:rPr>
                <w:rFonts w:ascii="Arial" w:eastAsia="Times New Roman" w:hAnsi="Arial" w:cs="Arial"/>
                <w:sz w:val="18"/>
                <w:szCs w:val="18"/>
              </w:rPr>
              <w:t>Total contratos iniciais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97,2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97,2</w:t>
            </w:r>
          </w:p>
        </w:tc>
      </w:tr>
      <w:tr w:rsidR="000424A7" w:rsidRPr="000424A7" w:rsidTr="000424A7">
        <w:trPr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424A7" w:rsidRPr="000424A7" w:rsidTr="000424A7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86EF3" w:rsidP="000424A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Convertidos en indefi</w:t>
            </w:r>
            <w:r w:rsidR="000424A7" w:rsidRPr="000424A7">
              <w:rPr>
                <w:rFonts w:ascii="Arial" w:eastAsia="Times New Roman" w:hAnsi="Arial" w:cs="Arial"/>
                <w:sz w:val="18"/>
                <w:szCs w:val="18"/>
              </w:rPr>
              <w:t>nidos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077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</w:tr>
      <w:tr w:rsidR="000424A7" w:rsidRPr="000424A7" w:rsidTr="000424A7">
        <w:trPr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0424A7" w:rsidRPr="000424A7" w:rsidTr="000424A7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0424A7" w:rsidRPr="000424A7" w:rsidRDefault="000424A7" w:rsidP="000424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786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877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noWrap/>
            <w:hideMark/>
          </w:tcPr>
          <w:p w:rsidR="000424A7" w:rsidRPr="000424A7" w:rsidRDefault="000424A7" w:rsidP="000424A7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24A7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</w:tbl>
    <w:p w:rsidR="005E1A48" w:rsidRDefault="005E1A48" w:rsidP="005E1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Servizo Público de emprego estatal.</w:t>
      </w:r>
    </w:p>
    <w:p w:rsidR="002123F8" w:rsidRDefault="0080183C" w:rsidP="005E1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pesar das cuantiosas axudas á contratación indefinida, de que volve a</w:t>
      </w:r>
      <w:r w:rsidR="00A0027F">
        <w:rPr>
          <w:rFonts w:ascii="Arial" w:hAnsi="Arial" w:cs="Arial"/>
          <w:sz w:val="24"/>
          <w:szCs w:val="24"/>
        </w:rPr>
        <w:t xml:space="preserve"> medrar a actividade económica, etc.,</w:t>
      </w:r>
      <w:r>
        <w:rPr>
          <w:rFonts w:ascii="Arial" w:hAnsi="Arial" w:cs="Arial"/>
          <w:sz w:val="24"/>
          <w:szCs w:val="24"/>
        </w:rPr>
        <w:t xml:space="preserve"> </w:t>
      </w:r>
      <w:r w:rsidR="00E47D0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peso da temporalidade na contratación é alarmante, e medra sempre que aumenta </w:t>
      </w:r>
      <w:r w:rsidR="00A0027F">
        <w:rPr>
          <w:rFonts w:ascii="Arial" w:hAnsi="Arial" w:cs="Arial"/>
          <w:sz w:val="24"/>
          <w:szCs w:val="24"/>
        </w:rPr>
        <w:t>esta,</w:t>
      </w:r>
      <w:r>
        <w:rPr>
          <w:rFonts w:ascii="Arial" w:hAnsi="Arial" w:cs="Arial"/>
          <w:sz w:val="24"/>
          <w:szCs w:val="24"/>
        </w:rPr>
        <w:t xml:space="preserve"> reducíndose cada ano o peso da contratación indefinida</w:t>
      </w:r>
      <w:r w:rsidR="00A0027F">
        <w:rPr>
          <w:rFonts w:ascii="Arial" w:hAnsi="Arial" w:cs="Arial"/>
          <w:sz w:val="24"/>
          <w:szCs w:val="24"/>
        </w:rPr>
        <w:t>. Así,</w:t>
      </w:r>
      <w:r>
        <w:rPr>
          <w:rFonts w:ascii="Arial" w:hAnsi="Arial" w:cs="Arial"/>
          <w:sz w:val="24"/>
          <w:szCs w:val="24"/>
        </w:rPr>
        <w:t xml:space="preserve"> o ano 2015 non foi unha excepción;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A0027F">
        <w:rPr>
          <w:rFonts w:ascii="Arial" w:hAnsi="Arial" w:cs="Arial"/>
          <w:sz w:val="24"/>
          <w:szCs w:val="24"/>
        </w:rPr>
        <w:t>apenas</w:t>
      </w:r>
      <w:r>
        <w:rPr>
          <w:rFonts w:ascii="Arial" w:hAnsi="Arial" w:cs="Arial"/>
          <w:sz w:val="24"/>
          <w:szCs w:val="24"/>
        </w:rPr>
        <w:t xml:space="preserve"> o 7,4% dos contratos rexistrados se asinaron baixo algunha modalidade de contrata</w:t>
      </w:r>
      <w:r w:rsidR="00A0027F">
        <w:rPr>
          <w:rFonts w:ascii="Arial" w:hAnsi="Arial" w:cs="Arial"/>
          <w:sz w:val="24"/>
          <w:szCs w:val="24"/>
        </w:rPr>
        <w:t>ción indefinida (</w:t>
      </w:r>
      <w:r w:rsidR="00960869">
        <w:rPr>
          <w:rFonts w:ascii="Arial" w:hAnsi="Arial" w:cs="Arial"/>
          <w:sz w:val="24"/>
          <w:szCs w:val="24"/>
        </w:rPr>
        <w:t>7,9 no ano 2014).</w:t>
      </w:r>
    </w:p>
    <w:p w:rsidR="0080183C" w:rsidRDefault="0080183C" w:rsidP="005E1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</w:t>
      </w:r>
      <w:r w:rsidR="0096086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dúas modalidade</w:t>
      </w:r>
      <w:r w:rsidR="00A002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contratación que acaparan </w:t>
      </w:r>
      <w:r w:rsidR="00A0027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inmensa maioría dos contratos: por obra ou servizo determinado e eventuais por circunstancias da produción</w:t>
      </w:r>
      <w:r w:rsidR="00A0027F">
        <w:rPr>
          <w:rFonts w:ascii="Arial" w:hAnsi="Arial" w:cs="Arial"/>
          <w:sz w:val="24"/>
          <w:szCs w:val="24"/>
        </w:rPr>
        <w:t>. E</w:t>
      </w:r>
      <w:r w:rsidR="00960869">
        <w:rPr>
          <w:rFonts w:ascii="Arial" w:hAnsi="Arial" w:cs="Arial"/>
          <w:sz w:val="24"/>
          <w:szCs w:val="24"/>
        </w:rPr>
        <w:t>ntre ambos, abarcan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960869">
        <w:rPr>
          <w:rFonts w:ascii="Arial" w:hAnsi="Arial" w:cs="Arial"/>
          <w:sz w:val="24"/>
          <w:szCs w:val="24"/>
        </w:rPr>
        <w:t>o 77,9% do total dos contratos</w:t>
      </w:r>
      <w:r w:rsidR="00795871">
        <w:rPr>
          <w:rFonts w:ascii="Arial" w:hAnsi="Arial" w:cs="Arial"/>
          <w:sz w:val="24"/>
          <w:szCs w:val="24"/>
        </w:rPr>
        <w:t xml:space="preserve"> no ano 2015.</w:t>
      </w:r>
    </w:p>
    <w:p w:rsidR="00795871" w:rsidRDefault="00795871" w:rsidP="005E1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 modalidades de contrato que máis medr</w:t>
      </w:r>
      <w:r w:rsidR="00A0027F">
        <w:rPr>
          <w:rFonts w:ascii="Arial" w:hAnsi="Arial" w:cs="Arial"/>
          <w:sz w:val="24"/>
          <w:szCs w:val="24"/>
        </w:rPr>
        <w:t>aron</w:t>
      </w:r>
      <w:r>
        <w:rPr>
          <w:rFonts w:ascii="Arial" w:hAnsi="Arial" w:cs="Arial"/>
          <w:sz w:val="24"/>
          <w:szCs w:val="24"/>
        </w:rPr>
        <w:t xml:space="preserve"> durante o ano 2015 foron as de formación e prácticas; pero </w:t>
      </w:r>
      <w:r w:rsidR="00A0027F">
        <w:rPr>
          <w:rFonts w:ascii="Arial" w:hAnsi="Arial" w:cs="Arial"/>
          <w:sz w:val="24"/>
          <w:szCs w:val="24"/>
        </w:rPr>
        <w:t>teñen moi pouco pese no total, xa que apenas</w:t>
      </w:r>
      <w:r>
        <w:rPr>
          <w:rFonts w:ascii="Arial" w:hAnsi="Arial" w:cs="Arial"/>
          <w:sz w:val="24"/>
          <w:szCs w:val="24"/>
        </w:rPr>
        <w:t xml:space="preserve"> representan, conxuntamente, o 1,7% </w:t>
      </w:r>
      <w:r w:rsidR="00624FF6">
        <w:rPr>
          <w:rFonts w:ascii="Arial" w:hAnsi="Arial" w:cs="Arial"/>
          <w:sz w:val="24"/>
          <w:szCs w:val="24"/>
        </w:rPr>
        <w:t xml:space="preserve">de </w:t>
      </w:r>
      <w:r w:rsidR="00DE1F30">
        <w:rPr>
          <w:rFonts w:ascii="Arial" w:hAnsi="Arial" w:cs="Arial"/>
          <w:sz w:val="24"/>
          <w:szCs w:val="24"/>
        </w:rPr>
        <w:t>todos os</w:t>
      </w:r>
      <w:r w:rsidR="00624FF6">
        <w:rPr>
          <w:rFonts w:ascii="Arial" w:hAnsi="Arial" w:cs="Arial"/>
          <w:sz w:val="24"/>
          <w:szCs w:val="24"/>
        </w:rPr>
        <w:t xml:space="preserve"> contratos.</w:t>
      </w:r>
    </w:p>
    <w:p w:rsidR="002123F8" w:rsidRDefault="003C685C" w:rsidP="005E1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tipo de ocupación que </w:t>
      </w:r>
      <w:r w:rsidR="00CC262D">
        <w:rPr>
          <w:rFonts w:ascii="Arial" w:hAnsi="Arial" w:cs="Arial"/>
          <w:sz w:val="24"/>
          <w:szCs w:val="24"/>
        </w:rPr>
        <w:t>ocuparon os novos contratados</w:t>
      </w:r>
      <w:r w:rsidR="00A0027F">
        <w:rPr>
          <w:rFonts w:ascii="Arial" w:hAnsi="Arial" w:cs="Arial"/>
          <w:sz w:val="24"/>
          <w:szCs w:val="24"/>
        </w:rPr>
        <w:t>/as</w:t>
      </w:r>
      <w:r w:rsidR="00CC2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</w:t>
      </w:r>
      <w:r w:rsidR="00A0027F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diversa, aínda que </w:t>
      </w:r>
      <w:r w:rsidR="00A0027F">
        <w:rPr>
          <w:rFonts w:ascii="Arial" w:hAnsi="Arial" w:cs="Arial"/>
          <w:sz w:val="24"/>
          <w:szCs w:val="24"/>
        </w:rPr>
        <w:t>só dous tipos</w:t>
      </w:r>
      <w:r>
        <w:rPr>
          <w:rFonts w:ascii="Arial" w:hAnsi="Arial" w:cs="Arial"/>
          <w:sz w:val="24"/>
          <w:szCs w:val="24"/>
        </w:rPr>
        <w:t xml:space="preserve"> acollen </w:t>
      </w:r>
      <w:r w:rsidR="00A0027F">
        <w:rPr>
          <w:rFonts w:ascii="Arial" w:hAnsi="Arial" w:cs="Arial"/>
          <w:sz w:val="24"/>
          <w:szCs w:val="24"/>
        </w:rPr>
        <w:t>máis do 40% do total;</w:t>
      </w:r>
      <w:r>
        <w:rPr>
          <w:rFonts w:ascii="Arial" w:hAnsi="Arial" w:cs="Arial"/>
          <w:sz w:val="24"/>
          <w:szCs w:val="24"/>
        </w:rPr>
        <w:t xml:space="preserve"> trátase dos traballadores</w:t>
      </w:r>
      <w:r w:rsidR="00A0027F">
        <w:rPr>
          <w:rFonts w:ascii="Arial" w:hAnsi="Arial" w:cs="Arial"/>
          <w:sz w:val="24"/>
          <w:szCs w:val="24"/>
        </w:rPr>
        <w:t xml:space="preserve">/as </w:t>
      </w:r>
      <w:r>
        <w:rPr>
          <w:rFonts w:ascii="Arial" w:hAnsi="Arial" w:cs="Arial"/>
          <w:sz w:val="24"/>
          <w:szCs w:val="24"/>
        </w:rPr>
        <w:t>dos servizos de restauración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comercio, </w:t>
      </w:r>
      <w:r w:rsidR="00A0027F">
        <w:rPr>
          <w:rFonts w:ascii="Arial" w:hAnsi="Arial" w:cs="Arial"/>
          <w:sz w:val="24"/>
          <w:szCs w:val="24"/>
        </w:rPr>
        <w:t>e mais</w:t>
      </w:r>
      <w:r>
        <w:rPr>
          <w:rFonts w:ascii="Arial" w:hAnsi="Arial" w:cs="Arial"/>
          <w:sz w:val="24"/>
          <w:szCs w:val="24"/>
        </w:rPr>
        <w:t xml:space="preserve"> </w:t>
      </w:r>
      <w:r w:rsidR="00A0027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os peóns de calquera actividade.</w:t>
      </w:r>
    </w:p>
    <w:p w:rsidR="00CC262D" w:rsidRDefault="00CC262D" w:rsidP="005E1A48">
      <w:pPr>
        <w:rPr>
          <w:rFonts w:ascii="Arial" w:hAnsi="Arial" w:cs="Arial"/>
          <w:sz w:val="24"/>
          <w:szCs w:val="24"/>
        </w:rPr>
      </w:pPr>
    </w:p>
    <w:p w:rsidR="008F77C3" w:rsidRDefault="008F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Contratos iniciais segundo ocupación.</w:t>
      </w:r>
    </w:p>
    <w:tbl>
      <w:tblPr>
        <w:tblStyle w:val="Sombreadomedio2-nfasis11"/>
        <w:tblW w:w="10768" w:type="dxa"/>
        <w:tblInd w:w="-1394" w:type="dxa"/>
        <w:tblLook w:val="04A0"/>
      </w:tblPr>
      <w:tblGrid>
        <w:gridCol w:w="4031"/>
        <w:gridCol w:w="1109"/>
        <w:gridCol w:w="1109"/>
        <w:gridCol w:w="1135"/>
        <w:gridCol w:w="1136"/>
        <w:gridCol w:w="1124"/>
        <w:gridCol w:w="1124"/>
      </w:tblGrid>
      <w:tr w:rsidR="00F12D31" w:rsidRPr="00F12D31" w:rsidTr="00835190">
        <w:trPr>
          <w:cnfStyle w:val="100000000000"/>
          <w:trHeight w:val="232"/>
        </w:trPr>
        <w:tc>
          <w:tcPr>
            <w:cnfStyle w:val="001000000100"/>
            <w:tcW w:w="4031" w:type="dxa"/>
            <w:noWrap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% Total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CA507C" w:rsidP="00F12D31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F12D31" w:rsidRPr="00F12D31">
              <w:rPr>
                <w:rFonts w:ascii="Arial" w:eastAsia="Times New Roman" w:hAnsi="Arial" w:cs="Arial"/>
                <w:sz w:val="20"/>
                <w:szCs w:val="20"/>
              </w:rPr>
              <w:t>ariación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2D31" w:rsidRPr="00F12D31" w:rsidTr="00835190">
        <w:trPr>
          <w:cnfStyle w:val="000000100000"/>
          <w:trHeight w:val="232"/>
        </w:trPr>
        <w:tc>
          <w:tcPr>
            <w:cnfStyle w:val="001000000000"/>
            <w:tcW w:w="4031" w:type="dxa"/>
            <w:noWrap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09" w:type="dxa"/>
            <w:tcBorders>
              <w:top w:val="single" w:sz="18" w:space="0" w:color="auto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2D31" w:rsidRPr="00F12D31" w:rsidTr="00835190">
        <w:trPr>
          <w:trHeight w:val="232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783.152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874.643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91.491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</w:tr>
      <w:tr w:rsidR="00F12D31" w:rsidRPr="00F12D31" w:rsidTr="00835190">
        <w:trPr>
          <w:cnfStyle w:val="000000100000"/>
          <w:trHeight w:val="232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Directores e xerentes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1.591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1.592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F12D31" w:rsidRPr="00F12D31" w:rsidTr="00835190">
        <w:trPr>
          <w:trHeight w:val="232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Técnicos</w:t>
            </w:r>
            <w:r w:rsidR="00E077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da saúde e do ensino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30.219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33.169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3,8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2.950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9,8</w:t>
            </w:r>
          </w:p>
        </w:tc>
      </w:tr>
      <w:tr w:rsidR="00F12D31" w:rsidRPr="00F12D31" w:rsidTr="00835190">
        <w:trPr>
          <w:cnfStyle w:val="000000100000"/>
          <w:trHeight w:val="232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 xml:space="preserve">Outros técnicos 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44.574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45.767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5,7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1.193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</w:tr>
      <w:tr w:rsidR="00F12D31" w:rsidRPr="00F12D31" w:rsidTr="00835190">
        <w:trPr>
          <w:trHeight w:val="232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Técnicos; profesionais de apoio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56.143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63.564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7,2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7.421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</w:tr>
      <w:tr w:rsidR="00F12D31" w:rsidRPr="00F12D31" w:rsidTr="00835190">
        <w:trPr>
          <w:cnfStyle w:val="000000100000"/>
          <w:trHeight w:val="465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Empregados de oficina que non atenden o público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19.995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22.038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2,6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2.043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10,2</w:t>
            </w:r>
          </w:p>
        </w:tc>
      </w:tr>
      <w:tr w:rsidR="00F12D31" w:rsidRPr="00F12D31" w:rsidTr="00835190">
        <w:trPr>
          <w:trHeight w:val="232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Empregados de oficina que atenden o público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26.186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27.805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1.619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6,2</w:t>
            </w:r>
          </w:p>
        </w:tc>
      </w:tr>
      <w:tr w:rsidR="00F12D31" w:rsidRPr="00F12D31" w:rsidTr="00835190">
        <w:trPr>
          <w:cnfStyle w:val="000000100000"/>
          <w:trHeight w:val="465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Traballadores dos servizos de restauración e comercio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193.999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216.543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24,8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24,8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22.544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11,6</w:t>
            </w:r>
          </w:p>
        </w:tc>
      </w:tr>
      <w:tr w:rsidR="00F12D31" w:rsidRPr="00F12D31" w:rsidTr="00835190">
        <w:trPr>
          <w:trHeight w:val="465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Traballadores dos servizos de saúde e o coidado de persoas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46.218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52.039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5,9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5,9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5.821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12,6</w:t>
            </w:r>
          </w:p>
        </w:tc>
      </w:tr>
      <w:tr w:rsidR="00F12D31" w:rsidRPr="00F12D31" w:rsidTr="00835190">
        <w:trPr>
          <w:cnfStyle w:val="000000100000"/>
          <w:trHeight w:val="465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Traballadores dos servizos de protección e seguranza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8.600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9.193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593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</w:tr>
      <w:tr w:rsidR="00F12D31" w:rsidRPr="00F12D31" w:rsidTr="00835190">
        <w:trPr>
          <w:trHeight w:val="232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Traballadores cualificados no sector primario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11.570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12.710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1.140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9,9</w:t>
            </w:r>
          </w:p>
        </w:tc>
      </w:tr>
      <w:tr w:rsidR="00F12D31" w:rsidRPr="00F12D31" w:rsidTr="00835190">
        <w:trPr>
          <w:cnfStyle w:val="000000100000"/>
          <w:trHeight w:val="232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Traballadores cualificados da construción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29.456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31.011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3,8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1.555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5,3</w:t>
            </w:r>
          </w:p>
        </w:tc>
      </w:tr>
      <w:tr w:rsidR="00F12D31" w:rsidRPr="00F12D31" w:rsidTr="00835190">
        <w:trPr>
          <w:trHeight w:val="232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 xml:space="preserve">Traballadores cualificados das industrias 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51.680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58.959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6,7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7.279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14,1</w:t>
            </w:r>
          </w:p>
        </w:tc>
      </w:tr>
      <w:tr w:rsidR="00F12D31" w:rsidRPr="00F12D31" w:rsidTr="00835190">
        <w:trPr>
          <w:cnfStyle w:val="000000100000"/>
          <w:trHeight w:val="465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Operadores de instalacións e maquinaria fixas, e montadores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21.150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22.121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971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4,6</w:t>
            </w:r>
          </w:p>
        </w:tc>
      </w:tr>
      <w:tr w:rsidR="00F12D31" w:rsidRPr="00F12D31" w:rsidTr="00835190">
        <w:trPr>
          <w:trHeight w:val="232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Condutores e operadores de maquinaria móbil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36.133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40.698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4,6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4,7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4.565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12,6</w:t>
            </w:r>
          </w:p>
        </w:tc>
      </w:tr>
      <w:tr w:rsidR="00F12D31" w:rsidRPr="00F12D31" w:rsidTr="00835190">
        <w:trPr>
          <w:cnfStyle w:val="000000100000"/>
          <w:trHeight w:val="465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Traballadores non cualificados en servizos (salvo transportes)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85.650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97.694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10,9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11,2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12.044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14,1</w:t>
            </w:r>
          </w:p>
        </w:tc>
      </w:tr>
      <w:tr w:rsidR="00F12D31" w:rsidRPr="00F12D31" w:rsidTr="00835190">
        <w:trPr>
          <w:trHeight w:val="465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Peóns da agricultura, pesca, construción, industrias manufactureiras e transportes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119.936</w:t>
            </w:r>
          </w:p>
        </w:tc>
        <w:tc>
          <w:tcPr>
            <w:tcW w:w="1109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139.707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15,3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19.771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</w:tr>
      <w:tr w:rsidR="00F12D31" w:rsidRPr="00F12D31" w:rsidTr="00835190">
        <w:trPr>
          <w:cnfStyle w:val="000000100000"/>
          <w:trHeight w:val="232"/>
        </w:trPr>
        <w:tc>
          <w:tcPr>
            <w:cnfStyle w:val="001000000000"/>
            <w:tcW w:w="4031" w:type="dxa"/>
            <w:hideMark/>
          </w:tcPr>
          <w:p w:rsidR="00F12D31" w:rsidRPr="00F12D31" w:rsidRDefault="00F12D31" w:rsidP="00F12D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Ocupacións militares</w:t>
            </w:r>
          </w:p>
        </w:tc>
        <w:tc>
          <w:tcPr>
            <w:tcW w:w="1109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09" w:type="dxa"/>
            <w:tcBorders>
              <w:top w:val="nil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bottom w:val="single" w:sz="18" w:space="0" w:color="auto"/>
              <w:righ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-19</w:t>
            </w:r>
          </w:p>
        </w:tc>
        <w:tc>
          <w:tcPr>
            <w:tcW w:w="1124" w:type="dxa"/>
            <w:noWrap/>
            <w:hideMark/>
          </w:tcPr>
          <w:p w:rsidR="00F12D31" w:rsidRPr="00F12D31" w:rsidRDefault="00F12D31" w:rsidP="00F12D3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12D31">
              <w:rPr>
                <w:rFonts w:ascii="Arial" w:eastAsia="Times New Roman" w:hAnsi="Arial" w:cs="Arial"/>
                <w:sz w:val="20"/>
                <w:szCs w:val="20"/>
              </w:rPr>
              <w:t>-36,5</w:t>
            </w:r>
          </w:p>
        </w:tc>
      </w:tr>
    </w:tbl>
    <w:p w:rsidR="00CC262D" w:rsidRDefault="00CC262D" w:rsidP="00CC2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Servizo Público de emprego estatal.</w:t>
      </w: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010173" w:rsidP="005F10A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010173">
        <w:rPr>
          <w:rFonts w:ascii="Arial" w:hAnsi="Arial" w:cs="Arial"/>
          <w:b/>
          <w:sz w:val="40"/>
          <w:szCs w:val="40"/>
        </w:rPr>
        <w:t>Enquisa de poboación activa</w:t>
      </w:r>
      <w:r>
        <w:rPr>
          <w:rFonts w:ascii="Arial" w:hAnsi="Arial" w:cs="Arial"/>
          <w:b/>
          <w:sz w:val="32"/>
          <w:szCs w:val="32"/>
        </w:rPr>
        <w:t>.</w:t>
      </w:r>
    </w:p>
    <w:p w:rsidR="005F10A7" w:rsidRDefault="005F10A7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 datos que nos facilita a Enquisa de Poboación Activa (EPA) pechamos </w:t>
      </w:r>
      <w:r w:rsidR="0076247D">
        <w:rPr>
          <w:rFonts w:ascii="Arial" w:hAnsi="Arial" w:cs="Arial"/>
          <w:sz w:val="24"/>
          <w:szCs w:val="24"/>
        </w:rPr>
        <w:t>a información relativa</w:t>
      </w:r>
      <w:r w:rsidR="00E0776D">
        <w:rPr>
          <w:rFonts w:ascii="Arial" w:hAnsi="Arial" w:cs="Arial"/>
          <w:sz w:val="24"/>
          <w:szCs w:val="24"/>
        </w:rPr>
        <w:t xml:space="preserve"> ao </w:t>
      </w:r>
      <w:r w:rsidR="0076247D">
        <w:rPr>
          <w:rFonts w:ascii="Arial" w:hAnsi="Arial" w:cs="Arial"/>
          <w:sz w:val="24"/>
          <w:szCs w:val="24"/>
        </w:rPr>
        <w:t>mercado de traballo.</w:t>
      </w:r>
    </w:p>
    <w:p w:rsidR="0076247D" w:rsidRDefault="0076247D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Comezamos expondo a evolución das princi</w:t>
      </w:r>
      <w:r w:rsidR="002812AC">
        <w:rPr>
          <w:rFonts w:ascii="Arial" w:hAnsi="Arial" w:cs="Arial"/>
          <w:sz w:val="24"/>
          <w:szCs w:val="24"/>
        </w:rPr>
        <w:t>p</w:t>
      </w:r>
      <w:r w:rsidR="00A443E4">
        <w:rPr>
          <w:rFonts w:ascii="Arial" w:hAnsi="Arial" w:cs="Arial"/>
          <w:sz w:val="24"/>
          <w:szCs w:val="24"/>
        </w:rPr>
        <w:t>ais vari</w:t>
      </w:r>
      <w:r w:rsidR="00A0027F">
        <w:rPr>
          <w:rFonts w:ascii="Arial" w:hAnsi="Arial" w:cs="Arial"/>
          <w:sz w:val="24"/>
          <w:szCs w:val="24"/>
        </w:rPr>
        <w:t>ábei</w:t>
      </w:r>
      <w:r w:rsidR="00A443E4">
        <w:rPr>
          <w:rFonts w:ascii="Arial" w:hAnsi="Arial" w:cs="Arial"/>
          <w:sz w:val="24"/>
          <w:szCs w:val="24"/>
        </w:rPr>
        <w:t xml:space="preserve">s, para logo ir </w:t>
      </w:r>
      <w:r w:rsidR="00A0027F">
        <w:rPr>
          <w:rFonts w:ascii="Arial" w:hAnsi="Arial" w:cs="Arial"/>
          <w:sz w:val="24"/>
          <w:szCs w:val="24"/>
        </w:rPr>
        <w:t>esmiu</w:t>
      </w:r>
      <w:r w:rsidR="00A443E4">
        <w:rPr>
          <w:rFonts w:ascii="Arial" w:hAnsi="Arial" w:cs="Arial"/>
          <w:sz w:val="24"/>
          <w:szCs w:val="24"/>
        </w:rPr>
        <w:t xml:space="preserve">zando </w:t>
      </w:r>
      <w:r>
        <w:rPr>
          <w:rFonts w:ascii="Arial" w:hAnsi="Arial" w:cs="Arial"/>
          <w:sz w:val="24"/>
          <w:szCs w:val="24"/>
        </w:rPr>
        <w:t>cada unha delas.</w:t>
      </w:r>
    </w:p>
    <w:p w:rsidR="0076247D" w:rsidRDefault="0076247D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Principais vari</w:t>
      </w:r>
      <w:r w:rsidR="00A0027F">
        <w:rPr>
          <w:rFonts w:ascii="Arial" w:hAnsi="Arial" w:cs="Arial"/>
          <w:sz w:val="24"/>
          <w:szCs w:val="24"/>
        </w:rPr>
        <w:t>ábeis</w:t>
      </w:r>
    </w:p>
    <w:tbl>
      <w:tblPr>
        <w:tblStyle w:val="Sombreadomedio2-nfasis11"/>
        <w:tblW w:w="9965" w:type="dxa"/>
        <w:tblInd w:w="-554" w:type="dxa"/>
        <w:tblLook w:val="04A0"/>
      </w:tblPr>
      <w:tblGrid>
        <w:gridCol w:w="2339"/>
        <w:gridCol w:w="828"/>
        <w:gridCol w:w="828"/>
        <w:gridCol w:w="995"/>
        <w:gridCol w:w="995"/>
        <w:gridCol w:w="995"/>
        <w:gridCol w:w="995"/>
        <w:gridCol w:w="995"/>
        <w:gridCol w:w="995"/>
      </w:tblGrid>
      <w:tr w:rsidR="0076247D" w:rsidRPr="0076247D" w:rsidTr="00AF0444">
        <w:trPr>
          <w:cnfStyle w:val="100000000000"/>
          <w:trHeight w:val="255"/>
        </w:trPr>
        <w:tc>
          <w:tcPr>
            <w:cnfStyle w:val="001000000100"/>
            <w:tcW w:w="0" w:type="auto"/>
            <w:hideMark/>
          </w:tcPr>
          <w:p w:rsidR="0076247D" w:rsidRPr="0076247D" w:rsidRDefault="0076247D" w:rsidP="007624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76247D" w:rsidRPr="0076247D" w:rsidTr="00AF0444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76247D" w:rsidRPr="0076247D" w:rsidRDefault="0076247D" w:rsidP="007624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6247D" w:rsidRPr="0076247D" w:rsidTr="00AF0444">
        <w:trPr>
          <w:trHeight w:val="255"/>
        </w:trPr>
        <w:tc>
          <w:tcPr>
            <w:cnfStyle w:val="001000000000"/>
            <w:tcW w:w="0" w:type="auto"/>
            <w:hideMark/>
          </w:tcPr>
          <w:p w:rsidR="0076247D" w:rsidRPr="0076247D" w:rsidRDefault="0076247D" w:rsidP="007624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76247D" w:rsidRPr="0076247D" w:rsidRDefault="0076247D" w:rsidP="0076247D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247D" w:rsidRPr="0076247D" w:rsidTr="00AF0444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76247D" w:rsidRPr="0076247D" w:rsidRDefault="0076247D" w:rsidP="007624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Pob. maior de 16 anos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2387,6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2386,2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2.406,90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2.403,50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2.395,20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2.382,30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2.368,60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2.358,20</w:t>
            </w:r>
          </w:p>
        </w:tc>
      </w:tr>
      <w:tr w:rsidR="00AF0444" w:rsidRPr="0076247D" w:rsidTr="00AF0444">
        <w:trPr>
          <w:trHeight w:val="255"/>
        </w:trPr>
        <w:tc>
          <w:tcPr>
            <w:cnfStyle w:val="001000000000"/>
            <w:tcW w:w="0" w:type="auto"/>
            <w:hideMark/>
          </w:tcPr>
          <w:p w:rsidR="0076247D" w:rsidRPr="0076247D" w:rsidRDefault="0076247D" w:rsidP="007624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Activos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1314,8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1317,4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1.304,40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1.316,60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1.317,70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1.290,90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1.273,90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1.260,70</w:t>
            </w:r>
          </w:p>
        </w:tc>
      </w:tr>
      <w:tr w:rsidR="0076247D" w:rsidRPr="0076247D" w:rsidTr="00AF0444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76247D" w:rsidRPr="0076247D" w:rsidRDefault="0076247D" w:rsidP="007624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Poboación ocupada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1200,1</w:t>
            </w:r>
          </w:p>
        </w:tc>
        <w:tc>
          <w:tcPr>
            <w:tcW w:w="0" w:type="auto"/>
            <w:hideMark/>
          </w:tcPr>
          <w:p w:rsidR="0076247D" w:rsidRPr="0076247D" w:rsidRDefault="0076247D" w:rsidP="0038599A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8599A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,4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1.104,50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1.089,30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1.047,20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1.006,40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1.017,20</w:t>
            </w:r>
          </w:p>
        </w:tc>
      </w:tr>
      <w:tr w:rsidR="00AF0444" w:rsidRPr="0076247D" w:rsidTr="00AF0444">
        <w:trPr>
          <w:trHeight w:val="255"/>
        </w:trPr>
        <w:tc>
          <w:tcPr>
            <w:cnfStyle w:val="001000000000"/>
            <w:tcW w:w="0" w:type="auto"/>
            <w:hideMark/>
          </w:tcPr>
          <w:p w:rsidR="0076247D" w:rsidRPr="0076247D" w:rsidRDefault="0076247D" w:rsidP="007624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Poboación parada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114,7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165,9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227,2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270,5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284,6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275,8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243,4</w:t>
            </w:r>
          </w:p>
        </w:tc>
      </w:tr>
      <w:tr w:rsidR="0076247D" w:rsidRPr="0076247D" w:rsidTr="00AF0444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76247D" w:rsidRPr="0076247D" w:rsidRDefault="0076247D" w:rsidP="007624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Poboación inactiva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1072,8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1068,9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1.102,50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1.086,90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1.077,50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1.091,40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1.094,70</w:t>
            </w:r>
          </w:p>
        </w:tc>
        <w:tc>
          <w:tcPr>
            <w:tcW w:w="0" w:type="auto"/>
            <w:hideMark/>
          </w:tcPr>
          <w:p w:rsidR="0076247D" w:rsidRPr="0076247D" w:rsidRDefault="0076247D" w:rsidP="0076247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6247D">
              <w:rPr>
                <w:rFonts w:ascii="Arial" w:eastAsia="Times New Roman" w:hAnsi="Arial" w:cs="Arial"/>
                <w:sz w:val="20"/>
                <w:szCs w:val="20"/>
              </w:rPr>
              <w:t>1.097,50</w:t>
            </w:r>
          </w:p>
        </w:tc>
      </w:tr>
    </w:tbl>
    <w:p w:rsidR="0076247D" w:rsidRDefault="0076247D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76247D" w:rsidRDefault="005E521C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dous primeiros anos da crise, a perda de emprego non se traduciu en perda de poboación, pero xa a partir do ano 2010 comezou un descenso paulatino da poboación, que continuo</w:t>
      </w:r>
      <w:r w:rsidR="00A0027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neste último ano.</w:t>
      </w:r>
    </w:p>
    <w:p w:rsidR="005E521C" w:rsidRPr="005F10A7" w:rsidRDefault="005E521C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Evolución da poboación maior de 16 anos.</w:t>
      </w:r>
      <w:r w:rsidR="00742BB9">
        <w:rPr>
          <w:rFonts w:ascii="Arial" w:hAnsi="Arial" w:cs="Arial"/>
          <w:sz w:val="24"/>
          <w:szCs w:val="24"/>
        </w:rPr>
        <w:t xml:space="preserve"> Datos en miles.</w:t>
      </w:r>
    </w:p>
    <w:tbl>
      <w:tblPr>
        <w:tblStyle w:val="Sombreadomedio2-nfasis11"/>
        <w:tblW w:w="9700" w:type="dxa"/>
        <w:tblLook w:val="04A0"/>
      </w:tblPr>
      <w:tblGrid>
        <w:gridCol w:w="1846"/>
        <w:gridCol w:w="942"/>
        <w:gridCol w:w="942"/>
        <w:gridCol w:w="995"/>
        <w:gridCol w:w="995"/>
        <w:gridCol w:w="995"/>
        <w:gridCol w:w="995"/>
        <w:gridCol w:w="995"/>
        <w:gridCol w:w="995"/>
      </w:tblGrid>
      <w:tr w:rsidR="005E521C" w:rsidRPr="005E521C" w:rsidTr="005E521C">
        <w:trPr>
          <w:cnfStyle w:val="100000000000"/>
          <w:trHeight w:val="255"/>
        </w:trPr>
        <w:tc>
          <w:tcPr>
            <w:cnfStyle w:val="001000000100"/>
            <w:tcW w:w="1846" w:type="dxa"/>
            <w:hideMark/>
          </w:tcPr>
          <w:p w:rsidR="005E521C" w:rsidRPr="005E521C" w:rsidRDefault="005E521C" w:rsidP="005E521C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42" w:type="dxa"/>
            <w:hideMark/>
          </w:tcPr>
          <w:p w:rsidR="005E521C" w:rsidRPr="005E521C" w:rsidRDefault="005E521C" w:rsidP="005E521C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2" w:type="dxa"/>
            <w:hideMark/>
          </w:tcPr>
          <w:p w:rsidR="005E521C" w:rsidRPr="005E521C" w:rsidRDefault="005E521C" w:rsidP="005E521C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2009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</w:t>
            </w:r>
          </w:p>
        </w:tc>
      </w:tr>
      <w:tr w:rsidR="005E521C" w:rsidRPr="005E521C" w:rsidTr="005E521C">
        <w:trPr>
          <w:cnfStyle w:val="000000100000"/>
          <w:trHeight w:val="510"/>
        </w:trPr>
        <w:tc>
          <w:tcPr>
            <w:cnfStyle w:val="001000000000"/>
            <w:tcW w:w="1846" w:type="dxa"/>
            <w:hideMark/>
          </w:tcPr>
          <w:p w:rsidR="005E521C" w:rsidRPr="005E521C" w:rsidRDefault="005E521C" w:rsidP="005E521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Pob. maior de 16 anos</w:t>
            </w:r>
          </w:p>
        </w:tc>
        <w:tc>
          <w:tcPr>
            <w:tcW w:w="942" w:type="dxa"/>
            <w:hideMark/>
          </w:tcPr>
          <w:p w:rsidR="005E521C" w:rsidRPr="005E521C" w:rsidRDefault="005E521C" w:rsidP="005E521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2387,6</w:t>
            </w:r>
          </w:p>
        </w:tc>
        <w:tc>
          <w:tcPr>
            <w:tcW w:w="942" w:type="dxa"/>
            <w:hideMark/>
          </w:tcPr>
          <w:p w:rsidR="005E521C" w:rsidRPr="005E521C" w:rsidRDefault="005E521C" w:rsidP="005E521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2386,2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2.406,90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2.403,50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2.395,20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2.382,30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2.368,60</w:t>
            </w:r>
          </w:p>
        </w:tc>
        <w:tc>
          <w:tcPr>
            <w:tcW w:w="995" w:type="dxa"/>
            <w:hideMark/>
          </w:tcPr>
          <w:p w:rsidR="005E521C" w:rsidRPr="005E521C" w:rsidRDefault="005E521C" w:rsidP="005E521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521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2.358,20</w:t>
            </w:r>
          </w:p>
        </w:tc>
      </w:tr>
    </w:tbl>
    <w:p w:rsidR="005F10A7" w:rsidRDefault="005E521C" w:rsidP="005F10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>Fonte: EPA.INE</w:t>
      </w:r>
      <w:r w:rsidRPr="005E521C"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4514850" cy="2495550"/>
            <wp:effectExtent l="19050" t="0" r="19050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10A7" w:rsidRDefault="005F10A7" w:rsidP="005F10A7">
      <w:pPr>
        <w:rPr>
          <w:rFonts w:ascii="Arial" w:hAnsi="Arial" w:cs="Arial"/>
          <w:b/>
          <w:sz w:val="32"/>
          <w:szCs w:val="32"/>
        </w:rPr>
      </w:pPr>
    </w:p>
    <w:p w:rsidR="005F10A7" w:rsidRDefault="004054E2" w:rsidP="005F10A7">
      <w:pPr>
        <w:rPr>
          <w:rFonts w:ascii="Arial" w:hAnsi="Arial" w:cs="Arial"/>
          <w:sz w:val="24"/>
          <w:szCs w:val="24"/>
        </w:rPr>
      </w:pPr>
      <w:r w:rsidRPr="004054E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perda de poboación foi moi desigual</w:t>
      </w:r>
      <w:r w:rsidR="003E539F">
        <w:rPr>
          <w:rFonts w:ascii="Arial" w:hAnsi="Arial" w:cs="Arial"/>
          <w:sz w:val="24"/>
          <w:szCs w:val="24"/>
        </w:rPr>
        <w:t xml:space="preserve"> en función da idade</w:t>
      </w:r>
      <w:r w:rsidR="00A0027F">
        <w:rPr>
          <w:rFonts w:ascii="Arial" w:hAnsi="Arial" w:cs="Arial"/>
          <w:sz w:val="24"/>
          <w:szCs w:val="24"/>
        </w:rPr>
        <w:t xml:space="preserve"> e</w:t>
      </w:r>
      <w:r w:rsidR="003E539F">
        <w:rPr>
          <w:rFonts w:ascii="Arial" w:hAnsi="Arial" w:cs="Arial"/>
          <w:sz w:val="24"/>
          <w:szCs w:val="24"/>
        </w:rPr>
        <w:t xml:space="preserve"> concentrouse case exclusivamente entre os menores de 34 anos como se amosa a continuación.</w:t>
      </w:r>
    </w:p>
    <w:p w:rsidR="004054E2" w:rsidRDefault="004054E2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Poboación maior de 16 anos por grupos de idade. Datos en miles.</w:t>
      </w:r>
    </w:p>
    <w:tbl>
      <w:tblPr>
        <w:tblStyle w:val="Sombreadomedio2-nfasis11"/>
        <w:tblW w:w="7600" w:type="dxa"/>
        <w:tblLook w:val="04A0"/>
      </w:tblPr>
      <w:tblGrid>
        <w:gridCol w:w="2695"/>
        <w:gridCol w:w="995"/>
        <w:gridCol w:w="995"/>
        <w:gridCol w:w="995"/>
        <w:gridCol w:w="960"/>
        <w:gridCol w:w="960"/>
      </w:tblGrid>
      <w:tr w:rsidR="004054E2" w:rsidRPr="004054E2" w:rsidTr="004054E2">
        <w:trPr>
          <w:cnfStyle w:val="100000000000"/>
          <w:trHeight w:val="255"/>
        </w:trPr>
        <w:tc>
          <w:tcPr>
            <w:cnfStyle w:val="0010000001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hideMark/>
          </w:tcPr>
          <w:p w:rsidR="004054E2" w:rsidRPr="004054E2" w:rsidRDefault="004054E2" w:rsidP="004054E2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920" w:type="dxa"/>
            <w:gridSpan w:val="2"/>
            <w:noWrap/>
            <w:hideMark/>
          </w:tcPr>
          <w:p w:rsidR="004054E2" w:rsidRPr="004054E2" w:rsidRDefault="004054E2" w:rsidP="004054E2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variación</w:t>
            </w:r>
          </w:p>
        </w:tc>
      </w:tr>
      <w:tr w:rsidR="004054E2" w:rsidRPr="004054E2" w:rsidTr="004054E2">
        <w:trPr>
          <w:cnfStyle w:val="000000100000"/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/10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15/14</w:t>
            </w:r>
          </w:p>
        </w:tc>
      </w:tr>
      <w:tr w:rsidR="004054E2" w:rsidRPr="004054E2" w:rsidTr="004054E2">
        <w:trPr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2.406,90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2.368,60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2.358,30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-48,6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-10,30</w:t>
            </w:r>
          </w:p>
        </w:tc>
      </w:tr>
      <w:tr w:rsidR="004054E2" w:rsidRPr="004054E2" w:rsidTr="004054E2">
        <w:trPr>
          <w:cnfStyle w:val="000000100000"/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de 16 a 19 anos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94,8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83,6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83,2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-11,6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-0,40</w:t>
            </w:r>
          </w:p>
        </w:tc>
      </w:tr>
      <w:tr w:rsidR="004054E2" w:rsidRPr="004054E2" w:rsidTr="004054E2">
        <w:trPr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de 20 a 24 anos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138,4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117,1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-21,3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-3,90</w:t>
            </w:r>
          </w:p>
        </w:tc>
      </w:tr>
      <w:tr w:rsidR="004054E2" w:rsidRPr="004054E2" w:rsidTr="004054E2">
        <w:trPr>
          <w:cnfStyle w:val="000000100000"/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de 25 a 29 anos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179,4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142,3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136,3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-43,1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-6,00</w:t>
            </w:r>
          </w:p>
        </w:tc>
      </w:tr>
      <w:tr w:rsidR="004054E2" w:rsidRPr="004054E2" w:rsidTr="004054E2">
        <w:trPr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de 30 a 34 anos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186,4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175,6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-48,4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-10,80</w:t>
            </w:r>
          </w:p>
        </w:tc>
      </w:tr>
      <w:tr w:rsidR="004054E2" w:rsidRPr="004054E2" w:rsidTr="004054E2">
        <w:trPr>
          <w:cnfStyle w:val="000000100000"/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de 35 a 39 anos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220,1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225,1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220,9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-4,20</w:t>
            </w:r>
          </w:p>
        </w:tc>
      </w:tr>
      <w:tr w:rsidR="004054E2" w:rsidRPr="004054E2" w:rsidTr="004054E2">
        <w:trPr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de 40 a 44 anos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216,5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218,6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2,10</w:t>
            </w:r>
          </w:p>
        </w:tc>
      </w:tr>
      <w:tr w:rsidR="004054E2" w:rsidRPr="004054E2" w:rsidTr="004054E2">
        <w:trPr>
          <w:cnfStyle w:val="000000100000"/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de 45 a 49 anos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200,7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208,7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210,1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9,4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1,40</w:t>
            </w:r>
          </w:p>
        </w:tc>
      </w:tr>
      <w:tr w:rsidR="004054E2" w:rsidRPr="004054E2" w:rsidTr="004054E2">
        <w:trPr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de 50 a 54 anos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191,3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198,2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198,6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0,40</w:t>
            </w:r>
          </w:p>
        </w:tc>
      </w:tr>
      <w:tr w:rsidR="004054E2" w:rsidRPr="004054E2" w:rsidTr="004054E2">
        <w:trPr>
          <w:cnfStyle w:val="000000100000"/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de 55 a 59 anos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171,5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184,2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188,1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16,6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3,90</w:t>
            </w:r>
          </w:p>
        </w:tc>
      </w:tr>
      <w:tr w:rsidR="004054E2" w:rsidRPr="004054E2" w:rsidTr="004054E2">
        <w:trPr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de 60 a 64 anos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170,4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167,3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167,8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-2,6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</w:tr>
      <w:tr w:rsidR="004054E2" w:rsidRPr="004054E2" w:rsidTr="004054E2">
        <w:trPr>
          <w:cnfStyle w:val="000000100000"/>
          <w:trHeight w:val="255"/>
        </w:trPr>
        <w:tc>
          <w:tcPr>
            <w:cnfStyle w:val="001000000000"/>
            <w:tcW w:w="2695" w:type="dxa"/>
            <w:hideMark/>
          </w:tcPr>
          <w:p w:rsidR="004054E2" w:rsidRPr="004054E2" w:rsidRDefault="004054E2" w:rsidP="004054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de 65 e máis anos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604,2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635,3</w:t>
            </w:r>
          </w:p>
        </w:tc>
        <w:tc>
          <w:tcPr>
            <w:tcW w:w="995" w:type="dxa"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642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37,8</w:t>
            </w:r>
          </w:p>
        </w:tc>
        <w:tc>
          <w:tcPr>
            <w:tcW w:w="960" w:type="dxa"/>
            <w:noWrap/>
            <w:hideMark/>
          </w:tcPr>
          <w:p w:rsidR="004054E2" w:rsidRPr="004054E2" w:rsidRDefault="004054E2" w:rsidP="004054E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054E2">
              <w:rPr>
                <w:rFonts w:ascii="Arial" w:eastAsia="Times New Roman" w:hAnsi="Arial" w:cs="Arial"/>
                <w:sz w:val="20"/>
                <w:szCs w:val="20"/>
              </w:rPr>
              <w:t>6,70</w:t>
            </w:r>
          </w:p>
        </w:tc>
      </w:tr>
    </w:tbl>
    <w:p w:rsidR="004054E2" w:rsidRPr="004054E2" w:rsidRDefault="004054E2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5F10A7" w:rsidRDefault="00BC50F6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último quinquenio, estímase que o descenso de poboación con máis de 16 anos afectou a 48.600 persoas, das cales 10.300 </w:t>
      </w:r>
      <w:r w:rsidR="00A0027F">
        <w:rPr>
          <w:rFonts w:ascii="Arial" w:hAnsi="Arial" w:cs="Arial"/>
          <w:sz w:val="24"/>
          <w:szCs w:val="24"/>
        </w:rPr>
        <w:t xml:space="preserve">foron </w:t>
      </w:r>
      <w:r>
        <w:rPr>
          <w:rFonts w:ascii="Arial" w:hAnsi="Arial" w:cs="Arial"/>
          <w:sz w:val="24"/>
          <w:szCs w:val="24"/>
        </w:rPr>
        <w:t>no último ano</w:t>
      </w:r>
      <w:r w:rsidR="00A0027F">
        <w:rPr>
          <w:rFonts w:ascii="Arial" w:hAnsi="Arial" w:cs="Arial"/>
          <w:sz w:val="24"/>
          <w:szCs w:val="24"/>
        </w:rPr>
        <w:t xml:space="preserve">. Con todo, se </w:t>
      </w:r>
      <w:r>
        <w:rPr>
          <w:rFonts w:ascii="Arial" w:hAnsi="Arial" w:cs="Arial"/>
          <w:sz w:val="24"/>
          <w:szCs w:val="24"/>
        </w:rPr>
        <w:t>desagregamos por intervalos de idade, a realidade aínda é máis cr</w:t>
      </w:r>
      <w:r w:rsidR="00A0027F">
        <w:rPr>
          <w:rFonts w:ascii="Arial" w:hAnsi="Arial" w:cs="Arial"/>
          <w:sz w:val="24"/>
          <w:szCs w:val="24"/>
        </w:rPr>
        <w:t>úa. A</w:t>
      </w:r>
      <w:r>
        <w:rPr>
          <w:rFonts w:ascii="Arial" w:hAnsi="Arial" w:cs="Arial"/>
          <w:sz w:val="24"/>
          <w:szCs w:val="24"/>
        </w:rPr>
        <w:t xml:space="preserve"> perda de poboación concéntrase entre </w:t>
      </w:r>
      <w:r w:rsidR="00A0027F">
        <w:rPr>
          <w:rFonts w:ascii="Arial" w:hAnsi="Arial" w:cs="Arial"/>
          <w:sz w:val="24"/>
          <w:szCs w:val="24"/>
        </w:rPr>
        <w:t>a xente máis nova</w:t>
      </w:r>
      <w:r>
        <w:rPr>
          <w:rFonts w:ascii="Arial" w:hAnsi="Arial" w:cs="Arial"/>
          <w:sz w:val="24"/>
          <w:szCs w:val="24"/>
        </w:rPr>
        <w:t>: desde o ano 2010 estímase que hai en G</w:t>
      </w:r>
      <w:r w:rsidR="00E0776D">
        <w:rPr>
          <w:rFonts w:ascii="Arial" w:hAnsi="Arial" w:cs="Arial"/>
          <w:sz w:val="24"/>
          <w:szCs w:val="24"/>
        </w:rPr>
        <w:t>aliza</w:t>
      </w:r>
      <w:r>
        <w:rPr>
          <w:rFonts w:ascii="Arial" w:hAnsi="Arial" w:cs="Arial"/>
          <w:sz w:val="24"/>
          <w:szCs w:val="24"/>
        </w:rPr>
        <w:t xml:space="preserve"> 124.400 persoas menos, de entre 16 a 34 anos.</w:t>
      </w:r>
    </w:p>
    <w:p w:rsidR="00BE75CE" w:rsidRDefault="00BE75CE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partir dos 55 anos medra a poboación, sobre todo a partir dos 65 anos; polo que </w:t>
      </w:r>
      <w:r w:rsidR="00A0027F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perda de poboación afecta a poboación en idade de traballar, é dicir</w:t>
      </w:r>
      <w:r w:rsidR="00A002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0027F">
        <w:rPr>
          <w:rFonts w:ascii="Arial" w:hAnsi="Arial" w:cs="Arial"/>
          <w:sz w:val="24"/>
          <w:szCs w:val="24"/>
        </w:rPr>
        <w:t>a a</w:t>
      </w:r>
      <w:r>
        <w:rPr>
          <w:rFonts w:ascii="Arial" w:hAnsi="Arial" w:cs="Arial"/>
          <w:sz w:val="24"/>
          <w:szCs w:val="24"/>
        </w:rPr>
        <w:t>ctiv</w:t>
      </w:r>
      <w:r w:rsidR="00A0027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mentres que a poboación inactiva continúa medrando.</w:t>
      </w:r>
    </w:p>
    <w:p w:rsidR="00BC50F6" w:rsidRDefault="00BC50F6" w:rsidP="005F10A7">
      <w:pPr>
        <w:rPr>
          <w:rFonts w:ascii="Arial" w:hAnsi="Arial" w:cs="Arial"/>
          <w:sz w:val="24"/>
          <w:szCs w:val="24"/>
        </w:rPr>
      </w:pPr>
    </w:p>
    <w:p w:rsidR="00BC50F6" w:rsidRDefault="00BC50F6" w:rsidP="00BC50F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18C5">
        <w:rPr>
          <w:rFonts w:ascii="Arial" w:hAnsi="Arial" w:cs="Arial"/>
          <w:b/>
          <w:sz w:val="36"/>
          <w:szCs w:val="36"/>
        </w:rPr>
        <w:t>Poboación activa</w:t>
      </w:r>
      <w:r>
        <w:rPr>
          <w:rFonts w:ascii="Arial" w:hAnsi="Arial" w:cs="Arial"/>
          <w:sz w:val="24"/>
          <w:szCs w:val="24"/>
        </w:rPr>
        <w:t>.</w:t>
      </w:r>
    </w:p>
    <w:p w:rsidR="00BE75CE" w:rsidRDefault="00BE75CE" w:rsidP="00BE75C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2A3CEB" w:rsidRDefault="00BE75CE" w:rsidP="00BE75CE">
      <w:pPr>
        <w:rPr>
          <w:rFonts w:ascii="Arial" w:hAnsi="Arial" w:cs="Arial"/>
          <w:sz w:val="24"/>
          <w:szCs w:val="24"/>
        </w:rPr>
      </w:pPr>
      <w:r w:rsidRPr="00BE75CE">
        <w:rPr>
          <w:rFonts w:ascii="Arial" w:hAnsi="Arial" w:cs="Arial"/>
          <w:sz w:val="24"/>
          <w:szCs w:val="24"/>
        </w:rPr>
        <w:t xml:space="preserve">A poboación activa </w:t>
      </w:r>
      <w:r w:rsidR="002A3CEB">
        <w:rPr>
          <w:rFonts w:ascii="Arial" w:hAnsi="Arial" w:cs="Arial"/>
          <w:sz w:val="24"/>
          <w:szCs w:val="24"/>
        </w:rPr>
        <w:t xml:space="preserve">é </w:t>
      </w:r>
      <w:r w:rsidRPr="00BE75CE">
        <w:rPr>
          <w:rFonts w:ascii="Arial" w:hAnsi="Arial" w:cs="Arial"/>
          <w:sz w:val="24"/>
          <w:szCs w:val="24"/>
        </w:rPr>
        <w:t>a máis importante do mercado de traballo, xa que acolle a</w:t>
      </w:r>
      <w:r w:rsidR="002A3CEB">
        <w:rPr>
          <w:rFonts w:ascii="Arial" w:hAnsi="Arial" w:cs="Arial"/>
          <w:sz w:val="24"/>
          <w:szCs w:val="24"/>
        </w:rPr>
        <w:t>s</w:t>
      </w:r>
      <w:r w:rsidRPr="00BE75CE">
        <w:rPr>
          <w:rFonts w:ascii="Arial" w:hAnsi="Arial" w:cs="Arial"/>
          <w:sz w:val="24"/>
          <w:szCs w:val="24"/>
        </w:rPr>
        <w:t xml:space="preserve"> persoas ocupadas máis as paradas, é dicir</w:t>
      </w:r>
      <w:r w:rsidR="00A0027F">
        <w:rPr>
          <w:rFonts w:ascii="Arial" w:hAnsi="Arial" w:cs="Arial"/>
          <w:sz w:val="24"/>
          <w:szCs w:val="24"/>
        </w:rPr>
        <w:t>,</w:t>
      </w:r>
      <w:r w:rsidRPr="00BE75CE">
        <w:rPr>
          <w:rFonts w:ascii="Arial" w:hAnsi="Arial" w:cs="Arial"/>
          <w:sz w:val="24"/>
          <w:szCs w:val="24"/>
        </w:rPr>
        <w:t xml:space="preserve"> as persoas con emprego máis as que o están bus</w:t>
      </w:r>
      <w:r w:rsidR="00A0027F">
        <w:rPr>
          <w:rFonts w:ascii="Arial" w:hAnsi="Arial" w:cs="Arial"/>
          <w:sz w:val="24"/>
          <w:szCs w:val="24"/>
        </w:rPr>
        <w:t>cando activamente, isto é,</w:t>
      </w:r>
      <w:r w:rsidR="00630FEF">
        <w:rPr>
          <w:rFonts w:ascii="Arial" w:hAnsi="Arial" w:cs="Arial"/>
          <w:sz w:val="24"/>
          <w:szCs w:val="24"/>
        </w:rPr>
        <w:t xml:space="preserve"> a forza laboral dun país.</w:t>
      </w:r>
    </w:p>
    <w:p w:rsidR="00BC50F6" w:rsidRDefault="002A3CEB" w:rsidP="00BE7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 maior sexa a proporción de poboación activa con respecto </w:t>
      </w:r>
      <w:r w:rsidR="00630FE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total, máis </w:t>
      </w:r>
      <w:r w:rsidR="00630FEF">
        <w:rPr>
          <w:rFonts w:ascii="Arial" w:hAnsi="Arial" w:cs="Arial"/>
          <w:sz w:val="24"/>
          <w:szCs w:val="24"/>
        </w:rPr>
        <w:t>“equilibrado” é o mercado laboral,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630FEF">
        <w:rPr>
          <w:rFonts w:ascii="Arial" w:hAnsi="Arial" w:cs="Arial"/>
          <w:sz w:val="24"/>
          <w:szCs w:val="24"/>
        </w:rPr>
        <w:t>e</w:t>
      </w:r>
      <w:r w:rsidR="00A0027F">
        <w:rPr>
          <w:rFonts w:ascii="Arial" w:hAnsi="Arial" w:cs="Arial"/>
          <w:sz w:val="24"/>
          <w:szCs w:val="24"/>
        </w:rPr>
        <w:t>,</w:t>
      </w:r>
      <w:r w:rsidR="00630FEF">
        <w:rPr>
          <w:rFonts w:ascii="Arial" w:hAnsi="Arial" w:cs="Arial"/>
          <w:sz w:val="24"/>
          <w:szCs w:val="24"/>
        </w:rPr>
        <w:t xml:space="preserve"> </w:t>
      </w:r>
      <w:r w:rsidR="00A0027F">
        <w:rPr>
          <w:rFonts w:ascii="Arial" w:hAnsi="Arial" w:cs="Arial"/>
          <w:sz w:val="24"/>
          <w:szCs w:val="24"/>
        </w:rPr>
        <w:t xml:space="preserve">xa que logo, </w:t>
      </w:r>
      <w:r w:rsidR="00630FEF">
        <w:rPr>
          <w:rFonts w:ascii="Arial" w:hAnsi="Arial" w:cs="Arial"/>
          <w:sz w:val="24"/>
          <w:szCs w:val="24"/>
        </w:rPr>
        <w:t>a economía</w:t>
      </w:r>
      <w:r w:rsidR="00A0027F">
        <w:rPr>
          <w:rFonts w:ascii="Arial" w:hAnsi="Arial" w:cs="Arial"/>
          <w:sz w:val="24"/>
          <w:szCs w:val="24"/>
        </w:rPr>
        <w:t>, posto</w:t>
      </w:r>
      <w:r w:rsidR="00630FEF">
        <w:rPr>
          <w:rFonts w:ascii="Arial" w:hAnsi="Arial" w:cs="Arial"/>
          <w:sz w:val="24"/>
          <w:szCs w:val="24"/>
        </w:rPr>
        <w:t xml:space="preserve"> que menor é a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630FEF">
        <w:rPr>
          <w:rFonts w:ascii="Arial" w:hAnsi="Arial" w:cs="Arial"/>
          <w:sz w:val="24"/>
          <w:szCs w:val="24"/>
        </w:rPr>
        <w:t>proporción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630FEF">
        <w:rPr>
          <w:rFonts w:ascii="Arial" w:hAnsi="Arial" w:cs="Arial"/>
          <w:sz w:val="24"/>
          <w:szCs w:val="24"/>
        </w:rPr>
        <w:t>de dependentes, de poboación inacti</w:t>
      </w:r>
      <w:r w:rsidR="0091382E">
        <w:rPr>
          <w:rFonts w:ascii="Arial" w:hAnsi="Arial" w:cs="Arial"/>
          <w:sz w:val="24"/>
          <w:szCs w:val="24"/>
        </w:rPr>
        <w:t>v</w:t>
      </w:r>
      <w:r w:rsidR="00630FEF">
        <w:rPr>
          <w:rFonts w:ascii="Arial" w:hAnsi="Arial" w:cs="Arial"/>
          <w:sz w:val="24"/>
          <w:szCs w:val="24"/>
        </w:rPr>
        <w:t>a.</w:t>
      </w:r>
    </w:p>
    <w:p w:rsidR="00BE75CE" w:rsidRDefault="00BE75CE" w:rsidP="00BC50F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C50F6" w:rsidRPr="00BC50F6" w:rsidRDefault="00BC50F6" w:rsidP="00BC50F6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Poboación activa. Datos en miles</w:t>
      </w:r>
    </w:p>
    <w:tbl>
      <w:tblPr>
        <w:tblStyle w:val="Sombreadomedio2-nfasis11"/>
        <w:tblW w:w="9700" w:type="dxa"/>
        <w:tblLook w:val="04A0"/>
      </w:tblPr>
      <w:tblGrid>
        <w:gridCol w:w="1852"/>
        <w:gridCol w:w="939"/>
        <w:gridCol w:w="939"/>
        <w:gridCol w:w="995"/>
        <w:gridCol w:w="995"/>
        <w:gridCol w:w="995"/>
        <w:gridCol w:w="995"/>
        <w:gridCol w:w="995"/>
        <w:gridCol w:w="995"/>
      </w:tblGrid>
      <w:tr w:rsidR="00BC50F6" w:rsidRPr="00BC50F6" w:rsidTr="00BC50F6">
        <w:trPr>
          <w:cnfStyle w:val="100000000000"/>
          <w:trHeight w:val="255"/>
        </w:trPr>
        <w:tc>
          <w:tcPr>
            <w:cnfStyle w:val="001000000100"/>
            <w:tcW w:w="1852" w:type="dxa"/>
            <w:hideMark/>
          </w:tcPr>
          <w:p w:rsidR="00BC50F6" w:rsidRPr="00BC50F6" w:rsidRDefault="00BC50F6" w:rsidP="00BC50F6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9" w:type="dxa"/>
            <w:hideMark/>
          </w:tcPr>
          <w:p w:rsidR="00BC50F6" w:rsidRPr="00BC50F6" w:rsidRDefault="00BC50F6" w:rsidP="00BC50F6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39" w:type="dxa"/>
            <w:hideMark/>
          </w:tcPr>
          <w:p w:rsidR="00BC50F6" w:rsidRPr="00BC50F6" w:rsidRDefault="00BC50F6" w:rsidP="00BC50F6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2009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</w:t>
            </w:r>
          </w:p>
        </w:tc>
      </w:tr>
      <w:tr w:rsidR="00BC50F6" w:rsidRPr="00BC50F6" w:rsidTr="00BC50F6">
        <w:trPr>
          <w:cnfStyle w:val="000000100000"/>
          <w:trHeight w:val="255"/>
        </w:trPr>
        <w:tc>
          <w:tcPr>
            <w:cnfStyle w:val="001000000000"/>
            <w:tcW w:w="1852" w:type="dxa"/>
            <w:hideMark/>
          </w:tcPr>
          <w:p w:rsidR="00BC50F6" w:rsidRPr="00BC50F6" w:rsidRDefault="00BC50F6" w:rsidP="00BC50F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Activos</w:t>
            </w:r>
          </w:p>
        </w:tc>
        <w:tc>
          <w:tcPr>
            <w:tcW w:w="939" w:type="dxa"/>
            <w:hideMark/>
          </w:tcPr>
          <w:p w:rsidR="00BC50F6" w:rsidRPr="00BC50F6" w:rsidRDefault="00BC50F6" w:rsidP="00BC50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1314,8</w:t>
            </w:r>
          </w:p>
        </w:tc>
        <w:tc>
          <w:tcPr>
            <w:tcW w:w="939" w:type="dxa"/>
            <w:hideMark/>
          </w:tcPr>
          <w:p w:rsidR="00BC50F6" w:rsidRPr="00BC50F6" w:rsidRDefault="00BC50F6" w:rsidP="00BC50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1317,4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1.304,40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1.316,60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1.317,70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1.290,90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1.273,90</w:t>
            </w:r>
          </w:p>
        </w:tc>
        <w:tc>
          <w:tcPr>
            <w:tcW w:w="995" w:type="dxa"/>
            <w:hideMark/>
          </w:tcPr>
          <w:p w:rsidR="00BC50F6" w:rsidRPr="00BC50F6" w:rsidRDefault="00BC50F6" w:rsidP="00BC50F6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0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1.260,70</w:t>
            </w:r>
          </w:p>
        </w:tc>
      </w:tr>
    </w:tbl>
    <w:p w:rsidR="00BC50F6" w:rsidRPr="004054E2" w:rsidRDefault="00BC50F6" w:rsidP="00BC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BC50F6" w:rsidRDefault="00BC50F6" w:rsidP="005F10A7">
      <w:pPr>
        <w:rPr>
          <w:rFonts w:ascii="Arial" w:hAnsi="Arial" w:cs="Arial"/>
          <w:sz w:val="24"/>
          <w:szCs w:val="24"/>
        </w:rPr>
      </w:pPr>
      <w:r w:rsidRPr="00BC50F6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143375" cy="2247900"/>
            <wp:effectExtent l="19050" t="0" r="9525" b="0"/>
            <wp:docPr id="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3E28" w:rsidRDefault="00630FEF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</w:t>
      </w:r>
      <w:r w:rsidR="00E0776D">
        <w:rPr>
          <w:rFonts w:ascii="Arial" w:hAnsi="Arial" w:cs="Arial"/>
          <w:sz w:val="24"/>
          <w:szCs w:val="24"/>
        </w:rPr>
        <w:t>aliza</w:t>
      </w:r>
      <w:r>
        <w:rPr>
          <w:rFonts w:ascii="Arial" w:hAnsi="Arial" w:cs="Arial"/>
          <w:sz w:val="24"/>
          <w:szCs w:val="24"/>
        </w:rPr>
        <w:t xml:space="preserve"> vimos perdendo poboación </w:t>
      </w:r>
      <w:r w:rsidR="00670963">
        <w:rPr>
          <w:rFonts w:ascii="Arial" w:hAnsi="Arial" w:cs="Arial"/>
          <w:sz w:val="24"/>
          <w:szCs w:val="24"/>
        </w:rPr>
        <w:t xml:space="preserve">activa </w:t>
      </w:r>
      <w:r>
        <w:rPr>
          <w:rFonts w:ascii="Arial" w:hAnsi="Arial" w:cs="Arial"/>
          <w:sz w:val="24"/>
          <w:szCs w:val="24"/>
        </w:rPr>
        <w:t xml:space="preserve">desde </w:t>
      </w:r>
      <w:r w:rsidR="00A0027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ai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DC3E28">
        <w:rPr>
          <w:rFonts w:ascii="Arial" w:hAnsi="Arial" w:cs="Arial"/>
          <w:sz w:val="24"/>
          <w:szCs w:val="24"/>
        </w:rPr>
        <w:t>anos, fenómeno</w:t>
      </w:r>
      <w:r w:rsidR="00B06973">
        <w:rPr>
          <w:rFonts w:ascii="Arial" w:hAnsi="Arial" w:cs="Arial"/>
          <w:sz w:val="24"/>
          <w:szCs w:val="24"/>
        </w:rPr>
        <w:t xml:space="preserve"> que se agravou desde a crise, xa que </w:t>
      </w:r>
      <w:r w:rsidR="00A0027F">
        <w:rPr>
          <w:rFonts w:ascii="Arial" w:hAnsi="Arial" w:cs="Arial"/>
          <w:sz w:val="24"/>
          <w:szCs w:val="24"/>
        </w:rPr>
        <w:t>a</w:t>
      </w:r>
      <w:r w:rsidR="00B06973">
        <w:rPr>
          <w:rFonts w:ascii="Arial" w:hAnsi="Arial" w:cs="Arial"/>
          <w:sz w:val="24"/>
          <w:szCs w:val="24"/>
        </w:rPr>
        <w:t>o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B06973">
        <w:rPr>
          <w:rFonts w:ascii="Arial" w:hAnsi="Arial" w:cs="Arial"/>
          <w:sz w:val="24"/>
          <w:szCs w:val="24"/>
        </w:rPr>
        <w:t>de</w:t>
      </w:r>
      <w:r w:rsidR="00DC3E28">
        <w:rPr>
          <w:rFonts w:ascii="Arial" w:hAnsi="Arial" w:cs="Arial"/>
          <w:sz w:val="24"/>
          <w:szCs w:val="24"/>
        </w:rPr>
        <w:t xml:space="preserve">crecemento vexetativo da poboación </w:t>
      </w:r>
      <w:r w:rsidR="00A0027F">
        <w:rPr>
          <w:rFonts w:ascii="Arial" w:hAnsi="Arial" w:cs="Arial"/>
          <w:sz w:val="24"/>
          <w:szCs w:val="24"/>
        </w:rPr>
        <w:t xml:space="preserve">se </w:t>
      </w:r>
      <w:r w:rsidR="00DC3E28">
        <w:rPr>
          <w:rFonts w:ascii="Arial" w:hAnsi="Arial" w:cs="Arial"/>
          <w:sz w:val="24"/>
          <w:szCs w:val="24"/>
        </w:rPr>
        <w:t>uniu a emigración.</w:t>
      </w:r>
    </w:p>
    <w:p w:rsidR="00BC50F6" w:rsidRDefault="00DC3E28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o ano 2012, a caída de poboación activa é colosal, moi grave en si mesma, e máxim</w:t>
      </w:r>
      <w:r w:rsidR="00A0027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se temos en conta as idades onde máis </w:t>
      </w:r>
      <w:r w:rsidR="00A0027F">
        <w:rPr>
          <w:rFonts w:ascii="Arial" w:hAnsi="Arial" w:cs="Arial"/>
          <w:sz w:val="24"/>
          <w:szCs w:val="24"/>
        </w:rPr>
        <w:t>se produce este descenso.</w:t>
      </w:r>
    </w:p>
    <w:p w:rsidR="00455E2D" w:rsidRDefault="00455E2D" w:rsidP="005F10A7">
      <w:pPr>
        <w:rPr>
          <w:rFonts w:ascii="Arial" w:hAnsi="Arial" w:cs="Arial"/>
          <w:sz w:val="24"/>
          <w:szCs w:val="24"/>
        </w:rPr>
      </w:pPr>
    </w:p>
    <w:p w:rsidR="00455E2D" w:rsidRDefault="00455E2D" w:rsidP="00455E2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5E2D">
        <w:rPr>
          <w:rFonts w:ascii="Arial" w:hAnsi="Arial" w:cs="Arial"/>
          <w:b/>
          <w:sz w:val="28"/>
          <w:szCs w:val="28"/>
        </w:rPr>
        <w:t>A poboación activa descende entre os</w:t>
      </w:r>
      <w:r w:rsidR="00A0027F">
        <w:rPr>
          <w:rFonts w:ascii="Arial" w:hAnsi="Arial" w:cs="Arial"/>
          <w:b/>
          <w:sz w:val="28"/>
          <w:szCs w:val="28"/>
        </w:rPr>
        <w:t>/as</w:t>
      </w:r>
      <w:r w:rsidRPr="00455E2D">
        <w:rPr>
          <w:rFonts w:ascii="Arial" w:hAnsi="Arial" w:cs="Arial"/>
          <w:b/>
          <w:sz w:val="28"/>
          <w:szCs w:val="28"/>
        </w:rPr>
        <w:t xml:space="preserve"> menores de 34 anos</w:t>
      </w:r>
      <w:r>
        <w:rPr>
          <w:rFonts w:ascii="Arial" w:hAnsi="Arial" w:cs="Arial"/>
          <w:sz w:val="24"/>
          <w:szCs w:val="24"/>
        </w:rPr>
        <w:t>.</w:t>
      </w:r>
    </w:p>
    <w:p w:rsidR="00455E2D" w:rsidRPr="00455E2D" w:rsidRDefault="00455E2D" w:rsidP="00455E2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C50F6" w:rsidRPr="00DC3E28" w:rsidRDefault="00DC3E28" w:rsidP="005F10A7">
      <w:pPr>
        <w:rPr>
          <w:rFonts w:ascii="Arial" w:hAnsi="Arial" w:cs="Arial"/>
          <w:sz w:val="24"/>
          <w:szCs w:val="24"/>
        </w:rPr>
      </w:pPr>
      <w:r w:rsidRPr="00DC3E28">
        <w:rPr>
          <w:rFonts w:ascii="Arial" w:hAnsi="Arial" w:cs="Arial"/>
          <w:sz w:val="24"/>
          <w:szCs w:val="24"/>
        </w:rPr>
        <w:t>Poboación activa por grupo de idade. Datos en miles</w:t>
      </w:r>
    </w:p>
    <w:tbl>
      <w:tblPr>
        <w:tblStyle w:val="Sombreadomedio2-nfasis11"/>
        <w:tblW w:w="7600" w:type="dxa"/>
        <w:tblLook w:val="04A0"/>
      </w:tblPr>
      <w:tblGrid>
        <w:gridCol w:w="2605"/>
        <w:gridCol w:w="995"/>
        <w:gridCol w:w="995"/>
        <w:gridCol w:w="995"/>
        <w:gridCol w:w="960"/>
        <w:gridCol w:w="1050"/>
      </w:tblGrid>
      <w:tr w:rsidR="00EC2862" w:rsidRPr="00EC2862" w:rsidTr="00DC3E28">
        <w:trPr>
          <w:cnfStyle w:val="100000000000"/>
          <w:trHeight w:val="255"/>
        </w:trPr>
        <w:tc>
          <w:tcPr>
            <w:cnfStyle w:val="0010000001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15/14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DC3E28" w:rsidP="00DC3E28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15/10</w:t>
            </w:r>
          </w:p>
        </w:tc>
      </w:tr>
      <w:tr w:rsidR="00EC2862" w:rsidRPr="00EC2862" w:rsidTr="00DC3E28">
        <w:trPr>
          <w:cnfStyle w:val="000000100000"/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noWrap/>
            <w:hideMark/>
          </w:tcPr>
          <w:p w:rsidR="00EC2862" w:rsidRPr="00EC2862" w:rsidRDefault="00DC3E28" w:rsidP="00EC2862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Variación</w:t>
            </w:r>
          </w:p>
        </w:tc>
      </w:tr>
      <w:tr w:rsidR="00EC2862" w:rsidRPr="00EC2862" w:rsidTr="00DC3E28">
        <w:trPr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1.304,40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1.273,90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1.260,70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-13,20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-43,70</w:t>
            </w:r>
          </w:p>
        </w:tc>
      </w:tr>
      <w:tr w:rsidR="00EC2862" w:rsidRPr="00EC2862" w:rsidTr="00DC3E28">
        <w:trPr>
          <w:cnfStyle w:val="000000100000"/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de 16 a 19 anos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16,9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-0,70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-9,00</w:t>
            </w:r>
          </w:p>
        </w:tc>
      </w:tr>
      <w:tr w:rsidR="00EC2862" w:rsidRPr="00EC2862" w:rsidTr="00DC3E28">
        <w:trPr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de 20 a 24 anos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77,1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56,2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-5,80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-20,90</w:t>
            </w:r>
          </w:p>
        </w:tc>
      </w:tr>
      <w:tr w:rsidR="00EC2862" w:rsidRPr="00EC2862" w:rsidTr="00DC3E28">
        <w:trPr>
          <w:cnfStyle w:val="000000100000"/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de 25 a 29 anos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150,2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120,3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112,4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-7,90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-37,80</w:t>
            </w:r>
          </w:p>
        </w:tc>
      </w:tr>
      <w:tr w:rsidR="00EC2862" w:rsidRPr="00EC2862" w:rsidTr="00DC3E28">
        <w:trPr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de 30 a 34 anos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197,1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168,3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160,1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-8,20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-37,00</w:t>
            </w:r>
          </w:p>
        </w:tc>
      </w:tr>
      <w:tr w:rsidR="00EC2862" w:rsidRPr="00EC2862" w:rsidTr="00DC3E28">
        <w:trPr>
          <w:cnfStyle w:val="000000100000"/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de 35 a 39 anos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192,7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201,3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196,6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-4,70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3,90</w:t>
            </w:r>
          </w:p>
        </w:tc>
      </w:tr>
      <w:tr w:rsidR="00EC2862" w:rsidRPr="00EC2862" w:rsidTr="00DC3E28">
        <w:trPr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de 40 a 44 anos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180,7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189,7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192,3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2,60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11,60</w:t>
            </w:r>
          </w:p>
        </w:tc>
      </w:tr>
      <w:tr w:rsidR="00EC2862" w:rsidRPr="00EC2862" w:rsidTr="00DC3E28">
        <w:trPr>
          <w:cnfStyle w:val="000000100000"/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de 45 a 49 anos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164,9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175,3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11,10</w:t>
            </w:r>
          </w:p>
        </w:tc>
      </w:tr>
      <w:tr w:rsidR="00EC2862" w:rsidRPr="00EC2862" w:rsidTr="00DC3E28">
        <w:trPr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de 50 a 54 anos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144,5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153,2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1,30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</w:tr>
      <w:tr w:rsidR="00EC2862" w:rsidRPr="00EC2862" w:rsidTr="00DC3E28">
        <w:trPr>
          <w:cnfStyle w:val="000000100000"/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de 55 a 59 anos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104,5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118,7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7,30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21,50</w:t>
            </w:r>
          </w:p>
        </w:tc>
      </w:tr>
      <w:tr w:rsidR="00EC2862" w:rsidRPr="00EC2862" w:rsidTr="00DC3E28">
        <w:trPr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de 60 a 64 anos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64,1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65,9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68,4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1050" w:type="dxa"/>
            <w:noWrap/>
            <w:hideMark/>
          </w:tcPr>
          <w:p w:rsidR="00EC2862" w:rsidRPr="00EC2862" w:rsidRDefault="00EC2862" w:rsidP="00EC2862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4,30</w:t>
            </w:r>
          </w:p>
        </w:tc>
      </w:tr>
      <w:tr w:rsidR="00EC2862" w:rsidRPr="00EC2862" w:rsidTr="00DC3E28">
        <w:trPr>
          <w:cnfStyle w:val="000000100000"/>
          <w:trHeight w:val="255"/>
        </w:trPr>
        <w:tc>
          <w:tcPr>
            <w:cnfStyle w:val="001000000000"/>
            <w:tcW w:w="2605" w:type="dxa"/>
            <w:hideMark/>
          </w:tcPr>
          <w:p w:rsidR="00EC2862" w:rsidRPr="00EC2862" w:rsidRDefault="00EC2862" w:rsidP="00EC28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de 65 e máis anos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95" w:type="dxa"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10,3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8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-0,20</w:t>
            </w:r>
          </w:p>
        </w:tc>
        <w:tc>
          <w:tcPr>
            <w:tcW w:w="1050" w:type="dxa"/>
            <w:tcBorders>
              <w:bottom w:val="single" w:sz="18" w:space="0" w:color="auto"/>
            </w:tcBorders>
            <w:noWrap/>
            <w:hideMark/>
          </w:tcPr>
          <w:p w:rsidR="00EC2862" w:rsidRPr="00EC2862" w:rsidRDefault="00EC2862" w:rsidP="00EC2862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EC2862">
              <w:rPr>
                <w:rFonts w:ascii="Arial" w:eastAsia="Times New Roman" w:hAnsi="Arial" w:cs="Arial"/>
                <w:sz w:val="20"/>
                <w:szCs w:val="20"/>
              </w:rPr>
              <w:t>-1,40</w:t>
            </w:r>
          </w:p>
        </w:tc>
      </w:tr>
    </w:tbl>
    <w:p w:rsidR="0091382E" w:rsidRPr="004054E2" w:rsidRDefault="0091382E" w:rsidP="00913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EC2862" w:rsidRDefault="0091382E" w:rsidP="005F10A7">
      <w:pPr>
        <w:rPr>
          <w:rFonts w:ascii="Arial" w:hAnsi="Arial" w:cs="Arial"/>
          <w:sz w:val="24"/>
          <w:szCs w:val="24"/>
        </w:rPr>
      </w:pPr>
      <w:r w:rsidRPr="0091382E">
        <w:rPr>
          <w:rFonts w:ascii="Arial" w:hAnsi="Arial" w:cs="Arial"/>
          <w:sz w:val="24"/>
          <w:szCs w:val="24"/>
        </w:rPr>
        <w:t>Non s</w:t>
      </w:r>
      <w:r w:rsidR="00A0027F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se perde poboación</w:t>
      </w:r>
      <w:r w:rsidR="00670963">
        <w:rPr>
          <w:rFonts w:ascii="Arial" w:hAnsi="Arial" w:cs="Arial"/>
          <w:sz w:val="24"/>
          <w:szCs w:val="24"/>
        </w:rPr>
        <w:t xml:space="preserve"> activa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globalmente </w:t>
      </w:r>
      <w:r w:rsidR="00DD36B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43.700 persoas desde o ano 2010</w:t>
      </w:r>
      <w:r w:rsidR="00DD36B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A6677">
        <w:rPr>
          <w:rFonts w:ascii="Arial" w:hAnsi="Arial" w:cs="Arial"/>
          <w:sz w:val="24"/>
          <w:szCs w:val="24"/>
        </w:rPr>
        <w:t xml:space="preserve">senón o que é máis grave, </w:t>
      </w:r>
      <w:r w:rsidR="00670963">
        <w:rPr>
          <w:rFonts w:ascii="Arial" w:hAnsi="Arial" w:cs="Arial"/>
          <w:sz w:val="24"/>
          <w:szCs w:val="24"/>
        </w:rPr>
        <w:t xml:space="preserve">o descenso afecta exclusivamente </w:t>
      </w:r>
      <w:r w:rsidR="00DD36B7">
        <w:rPr>
          <w:rFonts w:ascii="Arial" w:hAnsi="Arial" w:cs="Arial"/>
          <w:sz w:val="24"/>
          <w:szCs w:val="24"/>
        </w:rPr>
        <w:t>aos/á</w:t>
      </w:r>
      <w:r w:rsidR="00670963">
        <w:rPr>
          <w:rFonts w:ascii="Arial" w:hAnsi="Arial" w:cs="Arial"/>
          <w:sz w:val="24"/>
          <w:szCs w:val="24"/>
        </w:rPr>
        <w:t>s menores de 34 anos, entre os</w:t>
      </w:r>
      <w:r w:rsidR="00DD36B7">
        <w:rPr>
          <w:rFonts w:ascii="Arial" w:hAnsi="Arial" w:cs="Arial"/>
          <w:sz w:val="24"/>
          <w:szCs w:val="24"/>
        </w:rPr>
        <w:t>/as</w:t>
      </w:r>
      <w:r w:rsidR="00670963">
        <w:rPr>
          <w:rFonts w:ascii="Arial" w:hAnsi="Arial" w:cs="Arial"/>
          <w:sz w:val="24"/>
          <w:szCs w:val="24"/>
        </w:rPr>
        <w:t xml:space="preserve"> cales descendeu, desde o ano 2010, en 104.700 persoas</w:t>
      </w:r>
      <w:r w:rsidR="00DD36B7">
        <w:rPr>
          <w:rFonts w:ascii="Arial" w:hAnsi="Arial" w:cs="Arial"/>
          <w:sz w:val="24"/>
          <w:szCs w:val="24"/>
        </w:rPr>
        <w:t>. A</w:t>
      </w:r>
      <w:r w:rsidR="00670963">
        <w:rPr>
          <w:rFonts w:ascii="Arial" w:hAnsi="Arial" w:cs="Arial"/>
          <w:sz w:val="24"/>
          <w:szCs w:val="24"/>
        </w:rPr>
        <w:t xml:space="preserve"> partir desta idade incrementouse; é dicir, o mercado laboral segue reducíndose e envellecendo, xa que cada ano que pasa aumentan a proporción dos maiores de 34 anos con respecto </w:t>
      </w:r>
      <w:r w:rsidR="00543BE9">
        <w:rPr>
          <w:rFonts w:ascii="Arial" w:hAnsi="Arial" w:cs="Arial"/>
          <w:sz w:val="24"/>
          <w:szCs w:val="24"/>
        </w:rPr>
        <w:t>do</w:t>
      </w:r>
      <w:r w:rsidR="00670963">
        <w:rPr>
          <w:rFonts w:ascii="Arial" w:hAnsi="Arial" w:cs="Arial"/>
          <w:sz w:val="24"/>
          <w:szCs w:val="24"/>
        </w:rPr>
        <w:t xml:space="preserve"> total.</w:t>
      </w:r>
    </w:p>
    <w:p w:rsidR="00670963" w:rsidRDefault="002C73E4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último ano </w:t>
      </w:r>
      <w:r w:rsidR="00DD36B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2015</w:t>
      </w:r>
      <w:r w:rsidR="00DD36B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descendeu a poboación activa en 13.200; se nos centramos n</w:t>
      </w:r>
      <w:r w:rsidR="00DD36B7">
        <w:rPr>
          <w:rFonts w:ascii="Arial" w:hAnsi="Arial" w:cs="Arial"/>
          <w:sz w:val="24"/>
          <w:szCs w:val="24"/>
        </w:rPr>
        <w:t>as persoa</w:t>
      </w:r>
      <w:r>
        <w:rPr>
          <w:rFonts w:ascii="Arial" w:hAnsi="Arial" w:cs="Arial"/>
          <w:sz w:val="24"/>
          <w:szCs w:val="24"/>
        </w:rPr>
        <w:t xml:space="preserve">s menores de 34 anos, o </w:t>
      </w:r>
      <w:r w:rsidR="00A076EA">
        <w:rPr>
          <w:rFonts w:ascii="Arial" w:hAnsi="Arial" w:cs="Arial"/>
          <w:sz w:val="24"/>
          <w:szCs w:val="24"/>
        </w:rPr>
        <w:t>descenso foi de 22.600 persoas.</w:t>
      </w:r>
    </w:p>
    <w:p w:rsidR="00010173" w:rsidRDefault="00C61103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perda de poboación é o factor máis determinante na perda de poboación activa, pero o sexo, o nivel formativo, a idade… tamén teñen importancia, especialmente o nivel académico</w:t>
      </w:r>
      <w:r w:rsidR="00DD36B7">
        <w:rPr>
          <w:rFonts w:ascii="Arial" w:hAnsi="Arial" w:cs="Arial"/>
          <w:sz w:val="24"/>
          <w:szCs w:val="24"/>
        </w:rPr>
        <w:t>. C</w:t>
      </w:r>
      <w:r>
        <w:rPr>
          <w:rFonts w:ascii="Arial" w:hAnsi="Arial" w:cs="Arial"/>
          <w:sz w:val="24"/>
          <w:szCs w:val="24"/>
        </w:rPr>
        <w:t>omo vemos na táboa seguinte, a taxa de actividade varía moito dependendo d</w:t>
      </w:r>
      <w:r w:rsidR="00DD36B7">
        <w:rPr>
          <w:rFonts w:ascii="Arial" w:hAnsi="Arial" w:cs="Arial"/>
          <w:sz w:val="24"/>
          <w:szCs w:val="24"/>
        </w:rPr>
        <w:t>este.</w:t>
      </w:r>
    </w:p>
    <w:p w:rsidR="00624155" w:rsidRDefault="00624155" w:rsidP="005F10A7">
      <w:pPr>
        <w:rPr>
          <w:rFonts w:ascii="Arial" w:hAnsi="Arial" w:cs="Arial"/>
          <w:sz w:val="24"/>
          <w:szCs w:val="24"/>
        </w:rPr>
      </w:pPr>
    </w:p>
    <w:p w:rsidR="00C61103" w:rsidRDefault="00C61103" w:rsidP="00C61103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1103">
        <w:rPr>
          <w:rFonts w:ascii="Arial" w:hAnsi="Arial" w:cs="Arial"/>
          <w:b/>
          <w:sz w:val="28"/>
          <w:szCs w:val="28"/>
        </w:rPr>
        <w:t>A maior nivel formativo, maior taxa de actividade</w:t>
      </w:r>
      <w:r>
        <w:rPr>
          <w:rFonts w:ascii="Arial" w:hAnsi="Arial" w:cs="Arial"/>
          <w:sz w:val="24"/>
          <w:szCs w:val="24"/>
        </w:rPr>
        <w:t>.</w:t>
      </w:r>
    </w:p>
    <w:p w:rsidR="00624155" w:rsidRPr="00C61103" w:rsidRDefault="00624155" w:rsidP="0062415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010173" w:rsidRDefault="00010173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act</w:t>
      </w:r>
      <w:r w:rsidR="001C1BEC">
        <w:rPr>
          <w:rFonts w:ascii="Arial" w:hAnsi="Arial" w:cs="Arial"/>
          <w:sz w:val="24"/>
          <w:szCs w:val="24"/>
        </w:rPr>
        <w:t>ividade segundo nivel académico e sexo</w:t>
      </w:r>
    </w:p>
    <w:tbl>
      <w:tblPr>
        <w:tblStyle w:val="Sombreadomedio2-nfasis11"/>
        <w:tblW w:w="0" w:type="auto"/>
        <w:tblLook w:val="04A0"/>
      </w:tblPr>
      <w:tblGrid>
        <w:gridCol w:w="3284"/>
        <w:gridCol w:w="694"/>
        <w:gridCol w:w="883"/>
        <w:gridCol w:w="1028"/>
      </w:tblGrid>
      <w:tr w:rsidR="001C1BEC" w:rsidRPr="001C1BEC" w:rsidTr="001C1BEC">
        <w:trPr>
          <w:cnfStyle w:val="100000000000"/>
          <w:trHeight w:val="255"/>
        </w:trPr>
        <w:tc>
          <w:tcPr>
            <w:cnfStyle w:val="001000000100"/>
            <w:tcW w:w="0" w:type="auto"/>
            <w:hideMark/>
          </w:tcPr>
          <w:p w:rsidR="001C1BEC" w:rsidRPr="001C1BEC" w:rsidRDefault="001C1BEC" w:rsidP="001C1B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Homes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Mulleres</w:t>
            </w:r>
          </w:p>
        </w:tc>
      </w:tr>
      <w:tr w:rsidR="001C1BEC" w:rsidRPr="001C1BEC" w:rsidTr="001C1BEC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1C1BEC" w:rsidRPr="001C1BEC" w:rsidRDefault="001C1BEC" w:rsidP="001C1B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1C1BEC" w:rsidRPr="001C1BEC" w:rsidTr="001C1BEC">
        <w:trPr>
          <w:trHeight w:val="255"/>
        </w:trPr>
        <w:tc>
          <w:tcPr>
            <w:cnfStyle w:val="001000000000"/>
            <w:tcW w:w="0" w:type="auto"/>
            <w:hideMark/>
          </w:tcPr>
          <w:p w:rsidR="001C1BEC" w:rsidRPr="001C1BEC" w:rsidRDefault="00E0776D" w:rsidP="001C1B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1C1BEC" w:rsidRPr="001C1BE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53,5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58,6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48,7</w:t>
            </w:r>
          </w:p>
        </w:tc>
      </w:tr>
      <w:tr w:rsidR="001C1BEC" w:rsidRPr="001C1BEC" w:rsidTr="001C1BEC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1C1BEC" w:rsidRPr="001C1BEC" w:rsidRDefault="00E0776D" w:rsidP="001C1B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1C1BEC" w:rsidRPr="001C1BEC">
              <w:rPr>
                <w:rFonts w:ascii="Arial" w:eastAsia="Times New Roman" w:hAnsi="Arial" w:cs="Arial"/>
                <w:sz w:val="20"/>
                <w:szCs w:val="20"/>
              </w:rPr>
              <w:t>Analfabetos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6,7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1C1BEC" w:rsidRPr="001C1BEC" w:rsidTr="001C1BEC">
        <w:trPr>
          <w:trHeight w:val="255"/>
        </w:trPr>
        <w:tc>
          <w:tcPr>
            <w:cnfStyle w:val="001000000000"/>
            <w:tcW w:w="0" w:type="auto"/>
            <w:hideMark/>
          </w:tcPr>
          <w:p w:rsidR="001C1BEC" w:rsidRPr="001C1BEC" w:rsidRDefault="00E0776D" w:rsidP="001C1B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1C1BEC" w:rsidRPr="001C1BEC">
              <w:rPr>
                <w:rFonts w:ascii="Arial" w:eastAsia="Times New Roman" w:hAnsi="Arial" w:cs="Arial"/>
                <w:sz w:val="20"/>
                <w:szCs w:val="20"/>
              </w:rPr>
              <w:t>Estudos primarios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13,1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17,3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10,1</w:t>
            </w:r>
          </w:p>
        </w:tc>
      </w:tr>
      <w:tr w:rsidR="001C1BEC" w:rsidRPr="001C1BEC" w:rsidTr="001C1BEC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1C1BEC" w:rsidRPr="001C1BEC" w:rsidRDefault="00E0776D" w:rsidP="001C1B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1C1BEC" w:rsidRPr="001C1BEC">
              <w:rPr>
                <w:rFonts w:ascii="Arial" w:eastAsia="Times New Roman" w:hAnsi="Arial" w:cs="Arial"/>
                <w:sz w:val="20"/>
                <w:szCs w:val="20"/>
              </w:rPr>
              <w:t>Ed secundaria. Primeira etapa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60,3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66,2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53,5</w:t>
            </w:r>
          </w:p>
        </w:tc>
      </w:tr>
      <w:tr w:rsidR="001C1BEC" w:rsidRPr="001C1BEC" w:rsidTr="001C1BEC">
        <w:trPr>
          <w:trHeight w:val="255"/>
        </w:trPr>
        <w:tc>
          <w:tcPr>
            <w:cnfStyle w:val="001000000000"/>
            <w:tcW w:w="0" w:type="auto"/>
            <w:hideMark/>
          </w:tcPr>
          <w:p w:rsidR="001C1BEC" w:rsidRPr="001C1BEC" w:rsidRDefault="00E0776D" w:rsidP="001C1B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1C1BEC" w:rsidRPr="001C1BEC">
              <w:rPr>
                <w:rFonts w:ascii="Arial" w:eastAsia="Times New Roman" w:hAnsi="Arial" w:cs="Arial"/>
                <w:sz w:val="20"/>
                <w:szCs w:val="20"/>
              </w:rPr>
              <w:t>Ed secundaria. Segunda etapa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64,6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68,4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60,7</w:t>
            </w:r>
          </w:p>
        </w:tc>
      </w:tr>
      <w:tr w:rsidR="001C1BEC" w:rsidRPr="001C1BEC" w:rsidTr="001C1BEC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1C1BEC" w:rsidRPr="001C1BEC" w:rsidRDefault="00E0776D" w:rsidP="001C1B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1C1BEC" w:rsidRPr="001C1BEC">
              <w:rPr>
                <w:rFonts w:ascii="Arial" w:eastAsia="Times New Roman" w:hAnsi="Arial" w:cs="Arial"/>
                <w:sz w:val="20"/>
                <w:szCs w:val="20"/>
              </w:rPr>
              <w:t>Educación superior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79,3</w:t>
            </w:r>
          </w:p>
        </w:tc>
        <w:tc>
          <w:tcPr>
            <w:tcW w:w="0" w:type="auto"/>
            <w:hideMark/>
          </w:tcPr>
          <w:p w:rsidR="001C1BEC" w:rsidRPr="001C1BEC" w:rsidRDefault="001C1BEC" w:rsidP="001C1BEC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1C1BEC">
              <w:rPr>
                <w:rFonts w:ascii="Arial" w:eastAsia="Times New Roman" w:hAnsi="Arial" w:cs="Arial"/>
                <w:sz w:val="20"/>
                <w:szCs w:val="20"/>
              </w:rPr>
              <w:t>80,7</w:t>
            </w:r>
          </w:p>
        </w:tc>
      </w:tr>
    </w:tbl>
    <w:p w:rsidR="00010173" w:rsidRDefault="00010173" w:rsidP="00010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624155" w:rsidRDefault="00624155" w:rsidP="00010173">
      <w:pPr>
        <w:rPr>
          <w:rFonts w:ascii="Arial" w:hAnsi="Arial" w:cs="Arial"/>
          <w:sz w:val="24"/>
          <w:szCs w:val="24"/>
        </w:rPr>
      </w:pPr>
    </w:p>
    <w:p w:rsidR="00A076EA" w:rsidRDefault="00624155" w:rsidP="005F10A7">
      <w:pPr>
        <w:rPr>
          <w:rFonts w:ascii="Arial" w:hAnsi="Arial" w:cs="Arial"/>
          <w:sz w:val="24"/>
          <w:szCs w:val="24"/>
        </w:rPr>
      </w:pPr>
      <w:r w:rsidRPr="00624155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648325" cy="2647950"/>
            <wp:effectExtent l="19050" t="0" r="9525" b="0"/>
            <wp:docPr id="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3C95" w:rsidRPr="0091382E" w:rsidRDefault="00B83C95" w:rsidP="005F10A7">
      <w:pPr>
        <w:rPr>
          <w:rFonts w:ascii="Arial" w:hAnsi="Arial" w:cs="Arial"/>
          <w:sz w:val="24"/>
          <w:szCs w:val="24"/>
        </w:rPr>
      </w:pPr>
    </w:p>
    <w:p w:rsidR="00B83C95" w:rsidRDefault="00B83C95" w:rsidP="00B83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medida que mellora o nivel formativo da poboación, aumenta a taxa de actividade, é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dicir, aumenta a súa participación no mercado de traballo</w:t>
      </w:r>
      <w:r w:rsidR="00DD36B7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relación é tan evidente que parece que se trata dunha progresión xeométrica. </w:t>
      </w:r>
    </w:p>
    <w:p w:rsidR="00B83C95" w:rsidRDefault="005644B2" w:rsidP="00B83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nexo é tan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rotundo </w:t>
      </w:r>
      <w:r w:rsidR="00CE476D">
        <w:rPr>
          <w:rFonts w:ascii="Arial" w:hAnsi="Arial" w:cs="Arial"/>
          <w:sz w:val="24"/>
          <w:szCs w:val="24"/>
        </w:rPr>
        <w:t xml:space="preserve">que todo indica que é </w:t>
      </w:r>
      <w:r w:rsidR="00B83C95">
        <w:rPr>
          <w:rFonts w:ascii="Arial" w:hAnsi="Arial" w:cs="Arial"/>
          <w:sz w:val="24"/>
          <w:szCs w:val="24"/>
        </w:rPr>
        <w:t>o factor máis determinant</w:t>
      </w:r>
      <w:r w:rsidR="00DD36B7">
        <w:rPr>
          <w:rFonts w:ascii="Arial" w:hAnsi="Arial" w:cs="Arial"/>
          <w:sz w:val="24"/>
          <w:szCs w:val="24"/>
        </w:rPr>
        <w:t>e. A</w:t>
      </w:r>
      <w:r w:rsidR="00B83C95">
        <w:rPr>
          <w:rFonts w:ascii="Arial" w:hAnsi="Arial" w:cs="Arial"/>
          <w:sz w:val="24"/>
          <w:szCs w:val="24"/>
        </w:rPr>
        <w:t>demais</w:t>
      </w:r>
      <w:r w:rsidR="00DD36B7">
        <w:rPr>
          <w:rFonts w:ascii="Arial" w:hAnsi="Arial" w:cs="Arial"/>
          <w:sz w:val="24"/>
          <w:szCs w:val="24"/>
        </w:rPr>
        <w:t>,</w:t>
      </w:r>
      <w:r w:rsidR="00B83C95">
        <w:rPr>
          <w:rFonts w:ascii="Arial" w:hAnsi="Arial" w:cs="Arial"/>
          <w:sz w:val="24"/>
          <w:szCs w:val="24"/>
        </w:rPr>
        <w:t xml:space="preserve"> mantense a mesma relación para homes que para mulleres</w:t>
      </w:r>
      <w:r w:rsidR="00031631">
        <w:rPr>
          <w:rFonts w:ascii="Arial" w:hAnsi="Arial" w:cs="Arial"/>
          <w:sz w:val="24"/>
          <w:szCs w:val="24"/>
        </w:rPr>
        <w:t xml:space="preserve">. </w:t>
      </w:r>
      <w:r w:rsidR="00B83C95">
        <w:rPr>
          <w:rFonts w:ascii="Arial" w:hAnsi="Arial" w:cs="Arial"/>
          <w:sz w:val="24"/>
          <w:szCs w:val="24"/>
        </w:rPr>
        <w:t xml:space="preserve">A taxa de actividade feminina </w:t>
      </w:r>
      <w:r w:rsidR="00031631">
        <w:rPr>
          <w:rFonts w:ascii="Arial" w:hAnsi="Arial" w:cs="Arial"/>
          <w:sz w:val="24"/>
          <w:szCs w:val="24"/>
        </w:rPr>
        <w:t>var</w:t>
      </w:r>
      <w:r w:rsidR="00DD36B7">
        <w:rPr>
          <w:rFonts w:ascii="Arial" w:hAnsi="Arial" w:cs="Arial"/>
          <w:sz w:val="24"/>
          <w:szCs w:val="24"/>
        </w:rPr>
        <w:t>í</w:t>
      </w:r>
      <w:r w:rsidR="00031631">
        <w:rPr>
          <w:rFonts w:ascii="Arial" w:hAnsi="Arial" w:cs="Arial"/>
          <w:sz w:val="24"/>
          <w:szCs w:val="24"/>
        </w:rPr>
        <w:t xml:space="preserve">a igual que a masculina a medida que varia o nivel formativo, e sitúase en </w:t>
      </w:r>
      <w:r w:rsidR="00DE1F30">
        <w:rPr>
          <w:rFonts w:ascii="Arial" w:hAnsi="Arial" w:cs="Arial"/>
          <w:sz w:val="24"/>
          <w:szCs w:val="24"/>
        </w:rPr>
        <w:t>todos os</w:t>
      </w:r>
      <w:r w:rsidR="00031631">
        <w:rPr>
          <w:rFonts w:ascii="Arial" w:hAnsi="Arial" w:cs="Arial"/>
          <w:sz w:val="24"/>
          <w:szCs w:val="24"/>
        </w:rPr>
        <w:t xml:space="preserve"> niveis por debaixo, salvo para os de educación superior,</w:t>
      </w:r>
      <w:r w:rsidR="00DD36B7">
        <w:rPr>
          <w:rFonts w:ascii="Arial" w:hAnsi="Arial" w:cs="Arial"/>
          <w:sz w:val="24"/>
          <w:szCs w:val="24"/>
        </w:rPr>
        <w:t xml:space="preserve"> </w:t>
      </w:r>
      <w:r w:rsidR="00031631">
        <w:rPr>
          <w:rFonts w:ascii="Arial" w:hAnsi="Arial" w:cs="Arial"/>
          <w:sz w:val="24"/>
          <w:szCs w:val="24"/>
        </w:rPr>
        <w:t xml:space="preserve">onde </w:t>
      </w:r>
      <w:r w:rsidR="00DD36B7">
        <w:rPr>
          <w:rFonts w:ascii="Arial" w:hAnsi="Arial" w:cs="Arial"/>
          <w:sz w:val="24"/>
          <w:szCs w:val="24"/>
        </w:rPr>
        <w:t>-</w:t>
      </w:r>
      <w:r w:rsidR="00031631">
        <w:rPr>
          <w:rFonts w:ascii="Arial" w:hAnsi="Arial" w:cs="Arial"/>
          <w:sz w:val="24"/>
          <w:szCs w:val="24"/>
        </w:rPr>
        <w:t>aínda que lixeiramente</w:t>
      </w:r>
      <w:r w:rsidR="00DD36B7">
        <w:rPr>
          <w:rFonts w:ascii="Arial" w:hAnsi="Arial" w:cs="Arial"/>
          <w:sz w:val="24"/>
          <w:szCs w:val="24"/>
        </w:rPr>
        <w:t>-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CE476D">
        <w:rPr>
          <w:rFonts w:ascii="Arial" w:hAnsi="Arial" w:cs="Arial"/>
          <w:sz w:val="24"/>
          <w:szCs w:val="24"/>
        </w:rPr>
        <w:t xml:space="preserve">a feminina </w:t>
      </w:r>
      <w:r w:rsidR="00031631">
        <w:rPr>
          <w:rFonts w:ascii="Arial" w:hAnsi="Arial" w:cs="Arial"/>
          <w:sz w:val="24"/>
          <w:szCs w:val="24"/>
        </w:rPr>
        <w:t>supera a taxa de actividade masculina.</w:t>
      </w:r>
    </w:p>
    <w:p w:rsidR="00F91A36" w:rsidRDefault="00F91A36" w:rsidP="00B83C95">
      <w:pPr>
        <w:rPr>
          <w:rFonts w:ascii="Arial" w:hAnsi="Arial" w:cs="Arial"/>
          <w:sz w:val="24"/>
          <w:szCs w:val="24"/>
        </w:rPr>
      </w:pPr>
    </w:p>
    <w:p w:rsidR="00F91A36" w:rsidRDefault="00F91A36" w:rsidP="00B83C95">
      <w:pPr>
        <w:rPr>
          <w:rFonts w:ascii="Arial" w:hAnsi="Arial" w:cs="Arial"/>
          <w:sz w:val="24"/>
          <w:szCs w:val="24"/>
        </w:rPr>
      </w:pPr>
    </w:p>
    <w:p w:rsidR="00F91A36" w:rsidRDefault="00F91A36" w:rsidP="00B83C95">
      <w:pPr>
        <w:rPr>
          <w:rFonts w:ascii="Arial" w:hAnsi="Arial" w:cs="Arial"/>
          <w:sz w:val="24"/>
          <w:szCs w:val="24"/>
        </w:rPr>
      </w:pPr>
    </w:p>
    <w:p w:rsidR="00EC2862" w:rsidRPr="007B589B" w:rsidRDefault="006618C5" w:rsidP="007B589B">
      <w:pPr>
        <w:rPr>
          <w:rFonts w:ascii="Arial" w:hAnsi="Arial" w:cs="Arial"/>
          <w:b/>
          <w:sz w:val="32"/>
          <w:szCs w:val="32"/>
        </w:rPr>
      </w:pPr>
      <w:r w:rsidRPr="007B589B">
        <w:rPr>
          <w:rFonts w:ascii="Arial" w:hAnsi="Arial" w:cs="Arial"/>
          <w:b/>
          <w:sz w:val="36"/>
          <w:szCs w:val="36"/>
        </w:rPr>
        <w:lastRenderedPageBreak/>
        <w:t>Poboación ocupada</w:t>
      </w:r>
      <w:r w:rsidRPr="007B589B">
        <w:rPr>
          <w:rFonts w:ascii="Arial" w:hAnsi="Arial" w:cs="Arial"/>
          <w:b/>
          <w:sz w:val="32"/>
          <w:szCs w:val="32"/>
        </w:rPr>
        <w:t>.</w:t>
      </w:r>
    </w:p>
    <w:p w:rsidR="00C011ED" w:rsidRDefault="00CE476D" w:rsidP="00CE4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descenso da poboación activa que comentabamos no apartado anterior produciuse polo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descenso da poboación ocupada como reflicten os datos que a</w:t>
      </w:r>
      <w:r w:rsidR="00D215FA">
        <w:rPr>
          <w:rFonts w:ascii="Arial" w:hAnsi="Arial" w:cs="Arial"/>
          <w:sz w:val="24"/>
          <w:szCs w:val="24"/>
        </w:rPr>
        <w:t>cheg</w:t>
      </w:r>
      <w:r>
        <w:rPr>
          <w:rFonts w:ascii="Arial" w:hAnsi="Arial" w:cs="Arial"/>
          <w:sz w:val="24"/>
          <w:szCs w:val="24"/>
        </w:rPr>
        <w:t>amos no seguinte cadro.</w:t>
      </w:r>
    </w:p>
    <w:p w:rsidR="00414836" w:rsidRDefault="00414836" w:rsidP="00CE4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o ano 2008, </w:t>
      </w:r>
      <w:r w:rsidR="00D215FA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que comezou a descender a ocupación en G</w:t>
      </w:r>
      <w:r w:rsidR="00E0776D">
        <w:rPr>
          <w:rFonts w:ascii="Arial" w:hAnsi="Arial" w:cs="Arial"/>
          <w:sz w:val="24"/>
          <w:szCs w:val="24"/>
        </w:rPr>
        <w:t>aliza</w:t>
      </w:r>
      <w:r>
        <w:rPr>
          <w:rFonts w:ascii="Arial" w:hAnsi="Arial" w:cs="Arial"/>
          <w:sz w:val="24"/>
          <w:szCs w:val="24"/>
        </w:rPr>
        <w:t xml:space="preserve">, </w:t>
      </w:r>
      <w:r w:rsidR="00A66081">
        <w:rPr>
          <w:rFonts w:ascii="Arial" w:hAnsi="Arial" w:cs="Arial"/>
          <w:sz w:val="24"/>
          <w:szCs w:val="24"/>
        </w:rPr>
        <w:t>perdéronse</w:t>
      </w:r>
      <w:r>
        <w:rPr>
          <w:rFonts w:ascii="Arial" w:hAnsi="Arial" w:cs="Arial"/>
          <w:sz w:val="24"/>
          <w:szCs w:val="24"/>
        </w:rPr>
        <w:t xml:space="preserve"> </w:t>
      </w:r>
      <w:r w:rsidR="00A66081">
        <w:rPr>
          <w:rFonts w:ascii="Arial" w:hAnsi="Arial" w:cs="Arial"/>
          <w:sz w:val="24"/>
          <w:szCs w:val="24"/>
        </w:rPr>
        <w:t>193.700 postos de traballo</w:t>
      </w:r>
      <w:r w:rsidR="00D215FA">
        <w:rPr>
          <w:rFonts w:ascii="Arial" w:hAnsi="Arial" w:cs="Arial"/>
          <w:sz w:val="24"/>
          <w:szCs w:val="24"/>
        </w:rPr>
        <w:t>. Es</w:t>
      </w:r>
      <w:r w:rsidR="00A66081">
        <w:rPr>
          <w:rFonts w:ascii="Arial" w:hAnsi="Arial" w:cs="Arial"/>
          <w:sz w:val="24"/>
          <w:szCs w:val="24"/>
        </w:rPr>
        <w:t xml:space="preserve">te é o maior legado que nos deixa Feijoo desde que se fixo cargo do goberno da Xunta. </w:t>
      </w:r>
    </w:p>
    <w:p w:rsidR="006A5B96" w:rsidRPr="006A5B96" w:rsidRDefault="006A5B96" w:rsidP="006A5B96">
      <w:pPr>
        <w:ind w:left="720"/>
        <w:rPr>
          <w:rFonts w:ascii="Arial" w:hAnsi="Arial" w:cs="Arial"/>
          <w:sz w:val="24"/>
          <w:szCs w:val="24"/>
        </w:rPr>
      </w:pPr>
      <w:r w:rsidRPr="006A5B96">
        <w:rPr>
          <w:rFonts w:ascii="Arial" w:hAnsi="Arial" w:cs="Arial"/>
          <w:sz w:val="24"/>
          <w:szCs w:val="24"/>
        </w:rPr>
        <w:t>Poboación ocupada. Datos en miles.</w:t>
      </w:r>
    </w:p>
    <w:tbl>
      <w:tblPr>
        <w:tblStyle w:val="Sombreadomedio2-nfasis11"/>
        <w:tblW w:w="10800" w:type="dxa"/>
        <w:tblInd w:w="-974" w:type="dxa"/>
        <w:tblLook w:val="04A0"/>
      </w:tblPr>
      <w:tblGrid>
        <w:gridCol w:w="1770"/>
        <w:gridCol w:w="1132"/>
        <w:gridCol w:w="1131"/>
        <w:gridCol w:w="1131"/>
        <w:gridCol w:w="1131"/>
        <w:gridCol w:w="1131"/>
        <w:gridCol w:w="1131"/>
        <w:gridCol w:w="1112"/>
        <w:gridCol w:w="1131"/>
      </w:tblGrid>
      <w:tr w:rsidR="00C70FD1" w:rsidRPr="000451B2" w:rsidTr="00C70FD1">
        <w:trPr>
          <w:cnfStyle w:val="100000000000"/>
          <w:trHeight w:val="255"/>
        </w:trPr>
        <w:tc>
          <w:tcPr>
            <w:cnfStyle w:val="001000000100"/>
            <w:tcW w:w="1770" w:type="dxa"/>
            <w:noWrap/>
            <w:hideMark/>
          </w:tcPr>
          <w:p w:rsidR="00C70FD1" w:rsidRPr="000451B2" w:rsidRDefault="00C70FD1" w:rsidP="00C70F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C70FD1" w:rsidRPr="000451B2" w:rsidRDefault="00C70FD1" w:rsidP="00C70FD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1131" w:type="dxa"/>
            <w:hideMark/>
          </w:tcPr>
          <w:p w:rsidR="00C70FD1" w:rsidRPr="000451B2" w:rsidRDefault="00C70FD1" w:rsidP="00C70FD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1131" w:type="dxa"/>
            <w:hideMark/>
          </w:tcPr>
          <w:p w:rsidR="00C70FD1" w:rsidRPr="000451B2" w:rsidRDefault="00C70FD1" w:rsidP="00C70FD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1131" w:type="dxa"/>
            <w:hideMark/>
          </w:tcPr>
          <w:p w:rsidR="00C70FD1" w:rsidRPr="000451B2" w:rsidRDefault="00C70FD1" w:rsidP="00C70FD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1131" w:type="dxa"/>
            <w:hideMark/>
          </w:tcPr>
          <w:p w:rsidR="00C70FD1" w:rsidRPr="000451B2" w:rsidRDefault="00C70FD1" w:rsidP="00C70FD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131" w:type="dxa"/>
            <w:hideMark/>
          </w:tcPr>
          <w:p w:rsidR="00C70FD1" w:rsidRPr="000451B2" w:rsidRDefault="00C70FD1" w:rsidP="00C70FD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112" w:type="dxa"/>
            <w:hideMark/>
          </w:tcPr>
          <w:p w:rsidR="00C70FD1" w:rsidRPr="000451B2" w:rsidRDefault="00C70FD1" w:rsidP="00C70FD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31" w:type="dxa"/>
            <w:hideMark/>
          </w:tcPr>
          <w:p w:rsidR="00C70FD1" w:rsidRPr="000451B2" w:rsidRDefault="00C70FD1" w:rsidP="00C70FD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C70FD1" w:rsidRPr="000451B2" w:rsidTr="00C70FD1">
        <w:trPr>
          <w:cnfStyle w:val="000000100000"/>
          <w:trHeight w:val="255"/>
        </w:trPr>
        <w:tc>
          <w:tcPr>
            <w:cnfStyle w:val="001000000000"/>
            <w:tcW w:w="1770" w:type="dxa"/>
            <w:noWrap/>
            <w:hideMark/>
          </w:tcPr>
          <w:p w:rsidR="00C70FD1" w:rsidRPr="000451B2" w:rsidRDefault="00C70FD1" w:rsidP="00C70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Poboación ocupada</w:t>
            </w:r>
          </w:p>
        </w:tc>
        <w:tc>
          <w:tcPr>
            <w:tcW w:w="1132" w:type="dxa"/>
            <w:noWrap/>
            <w:hideMark/>
          </w:tcPr>
          <w:p w:rsidR="00C70FD1" w:rsidRPr="000451B2" w:rsidRDefault="00C70FD1" w:rsidP="00C70FD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4581" w:rsidRPr="000451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201,2</w:t>
            </w:r>
          </w:p>
        </w:tc>
        <w:tc>
          <w:tcPr>
            <w:tcW w:w="1131" w:type="dxa"/>
            <w:noWrap/>
            <w:hideMark/>
          </w:tcPr>
          <w:p w:rsidR="00C70FD1" w:rsidRPr="000451B2" w:rsidRDefault="00C70FD1" w:rsidP="00C70FD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4581" w:rsidRPr="000451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155,4</w:t>
            </w:r>
          </w:p>
        </w:tc>
        <w:tc>
          <w:tcPr>
            <w:tcW w:w="1131" w:type="dxa"/>
            <w:noWrap/>
            <w:hideMark/>
          </w:tcPr>
          <w:p w:rsidR="00C70FD1" w:rsidRPr="000451B2" w:rsidRDefault="00C70FD1" w:rsidP="00C70FD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4581" w:rsidRPr="000451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104,5</w:t>
            </w:r>
          </w:p>
        </w:tc>
        <w:tc>
          <w:tcPr>
            <w:tcW w:w="1131" w:type="dxa"/>
            <w:noWrap/>
            <w:hideMark/>
          </w:tcPr>
          <w:p w:rsidR="00C70FD1" w:rsidRPr="000451B2" w:rsidRDefault="00C70FD1" w:rsidP="00C70FD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4581" w:rsidRPr="000451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089,3</w:t>
            </w:r>
          </w:p>
        </w:tc>
        <w:tc>
          <w:tcPr>
            <w:tcW w:w="1131" w:type="dxa"/>
            <w:noWrap/>
            <w:hideMark/>
          </w:tcPr>
          <w:p w:rsidR="00C70FD1" w:rsidRPr="000451B2" w:rsidRDefault="00C70FD1" w:rsidP="00C70FD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4581" w:rsidRPr="000451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047,2</w:t>
            </w:r>
          </w:p>
        </w:tc>
        <w:tc>
          <w:tcPr>
            <w:tcW w:w="1131" w:type="dxa"/>
            <w:noWrap/>
            <w:hideMark/>
          </w:tcPr>
          <w:p w:rsidR="00C70FD1" w:rsidRPr="000451B2" w:rsidRDefault="00C70FD1" w:rsidP="00C70FD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4581" w:rsidRPr="000451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006,4</w:t>
            </w:r>
          </w:p>
        </w:tc>
        <w:tc>
          <w:tcPr>
            <w:tcW w:w="1112" w:type="dxa"/>
            <w:noWrap/>
            <w:hideMark/>
          </w:tcPr>
          <w:p w:rsidR="00C70FD1" w:rsidRPr="000451B2" w:rsidRDefault="00C70FD1" w:rsidP="00C70FD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1131" w:type="dxa"/>
            <w:noWrap/>
            <w:hideMark/>
          </w:tcPr>
          <w:p w:rsidR="00C70FD1" w:rsidRPr="000451B2" w:rsidRDefault="00C70FD1" w:rsidP="00C70FD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4581" w:rsidRPr="000451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451B2">
              <w:rPr>
                <w:rFonts w:ascii="Arial" w:eastAsia="Times New Roman" w:hAnsi="Arial" w:cs="Arial"/>
                <w:sz w:val="20"/>
                <w:szCs w:val="20"/>
              </w:rPr>
              <w:t>017,2</w:t>
            </w:r>
          </w:p>
        </w:tc>
      </w:tr>
    </w:tbl>
    <w:p w:rsidR="00C70FD1" w:rsidRDefault="006A5B96" w:rsidP="00AB6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FC32AC" w:rsidRDefault="00FC32AC" w:rsidP="00AB62F5">
      <w:pPr>
        <w:rPr>
          <w:rFonts w:ascii="Arial" w:hAnsi="Arial" w:cs="Arial"/>
          <w:sz w:val="24"/>
          <w:szCs w:val="24"/>
        </w:rPr>
      </w:pPr>
      <w:r w:rsidRPr="00FC32AC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572000" cy="2743200"/>
            <wp:effectExtent l="19050" t="0" r="19050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32AC" w:rsidRDefault="00FC32AC" w:rsidP="00AB62F5">
      <w:pPr>
        <w:rPr>
          <w:rFonts w:ascii="Arial" w:hAnsi="Arial" w:cs="Arial"/>
          <w:sz w:val="24"/>
          <w:szCs w:val="24"/>
        </w:rPr>
      </w:pPr>
    </w:p>
    <w:p w:rsidR="004F5E35" w:rsidRDefault="004F5E35" w:rsidP="00AB6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Rematou 2008 con 1.201.200 ocupados/ as en G</w:t>
      </w:r>
      <w:r w:rsidR="00E0776D">
        <w:rPr>
          <w:rFonts w:ascii="Arial" w:hAnsi="Arial" w:cs="Arial"/>
          <w:sz w:val="24"/>
          <w:szCs w:val="24"/>
        </w:rPr>
        <w:t>aliza</w:t>
      </w:r>
      <w:r w:rsidR="007A2902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 xml:space="preserve"> a finais de 2015, apenas se supera o millón, a pesar que no último ano, de media, houbo 19.200 empregados</w:t>
      </w:r>
      <w:r w:rsidR="007A2902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máis que n</w:t>
      </w:r>
      <w:r w:rsidR="005644B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ano 2014. </w:t>
      </w:r>
    </w:p>
    <w:p w:rsidR="00EC2862" w:rsidRDefault="007A2902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</w:t>
      </w:r>
      <w:r w:rsidR="004F5E35">
        <w:rPr>
          <w:rFonts w:ascii="Arial" w:hAnsi="Arial" w:cs="Arial"/>
          <w:sz w:val="24"/>
          <w:szCs w:val="24"/>
        </w:rPr>
        <w:t xml:space="preserve"> non s</w:t>
      </w:r>
      <w:r>
        <w:rPr>
          <w:rFonts w:ascii="Arial" w:hAnsi="Arial" w:cs="Arial"/>
          <w:sz w:val="24"/>
          <w:szCs w:val="24"/>
        </w:rPr>
        <w:t>ó</w:t>
      </w:r>
      <w:r w:rsidR="004F5E35">
        <w:rPr>
          <w:rFonts w:ascii="Arial" w:hAnsi="Arial" w:cs="Arial"/>
          <w:sz w:val="24"/>
          <w:szCs w:val="24"/>
        </w:rPr>
        <w:t xml:space="preserve"> descendeu a ocupación, senón que se produciron importantes variacións entre a poboación ocupada.</w:t>
      </w:r>
      <w:r w:rsidR="00C90691">
        <w:rPr>
          <w:rFonts w:ascii="Arial" w:hAnsi="Arial" w:cs="Arial"/>
          <w:sz w:val="24"/>
          <w:szCs w:val="24"/>
        </w:rPr>
        <w:t xml:space="preserve"> Para analizar estas vari</w:t>
      </w:r>
      <w:r>
        <w:rPr>
          <w:rFonts w:ascii="Arial" w:hAnsi="Arial" w:cs="Arial"/>
          <w:sz w:val="24"/>
          <w:szCs w:val="24"/>
        </w:rPr>
        <w:t>ábei</w:t>
      </w:r>
      <w:r w:rsidR="00C90691">
        <w:rPr>
          <w:rFonts w:ascii="Arial" w:hAnsi="Arial" w:cs="Arial"/>
          <w:sz w:val="24"/>
          <w:szCs w:val="24"/>
        </w:rPr>
        <w:t>s, temos que coller de referencia o ano 2010, xa que os cambios producidos na estatística non nos permite</w:t>
      </w:r>
      <w:r>
        <w:rPr>
          <w:rFonts w:ascii="Arial" w:hAnsi="Arial" w:cs="Arial"/>
          <w:sz w:val="24"/>
          <w:szCs w:val="24"/>
        </w:rPr>
        <w:t>n</w:t>
      </w:r>
      <w:r w:rsidR="00C90691">
        <w:rPr>
          <w:rFonts w:ascii="Arial" w:hAnsi="Arial" w:cs="Arial"/>
          <w:sz w:val="24"/>
          <w:szCs w:val="24"/>
        </w:rPr>
        <w:t xml:space="preserve"> ter datos homoxéneos desde o ano 2009.</w:t>
      </w:r>
    </w:p>
    <w:p w:rsidR="003F4470" w:rsidRDefault="003F4470" w:rsidP="005F10A7">
      <w:pPr>
        <w:rPr>
          <w:rFonts w:ascii="Arial" w:hAnsi="Arial" w:cs="Arial"/>
          <w:sz w:val="24"/>
          <w:szCs w:val="24"/>
        </w:rPr>
      </w:pPr>
    </w:p>
    <w:p w:rsidR="003F4470" w:rsidRPr="003F4470" w:rsidRDefault="003F4470" w:rsidP="003F447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4470">
        <w:rPr>
          <w:rFonts w:ascii="Arial" w:hAnsi="Arial" w:cs="Arial"/>
          <w:b/>
          <w:sz w:val="28"/>
          <w:szCs w:val="28"/>
        </w:rPr>
        <w:t>Contin</w:t>
      </w:r>
      <w:r w:rsidR="007A2902">
        <w:rPr>
          <w:rFonts w:ascii="Arial" w:hAnsi="Arial" w:cs="Arial"/>
          <w:b/>
          <w:sz w:val="28"/>
          <w:szCs w:val="28"/>
        </w:rPr>
        <w:t>ú</w:t>
      </w:r>
      <w:r w:rsidRPr="003F4470">
        <w:rPr>
          <w:rFonts w:ascii="Arial" w:hAnsi="Arial" w:cs="Arial"/>
          <w:b/>
          <w:sz w:val="28"/>
          <w:szCs w:val="28"/>
        </w:rPr>
        <w:t>a a perda de emprego entre a mocidade</w:t>
      </w:r>
      <w:r>
        <w:rPr>
          <w:rFonts w:ascii="Arial" w:hAnsi="Arial" w:cs="Arial"/>
          <w:sz w:val="24"/>
          <w:szCs w:val="24"/>
        </w:rPr>
        <w:t>.</w:t>
      </w:r>
    </w:p>
    <w:p w:rsidR="00C90691" w:rsidRDefault="00C90691" w:rsidP="005F10A7">
      <w:pPr>
        <w:rPr>
          <w:rFonts w:ascii="Arial" w:hAnsi="Arial" w:cs="Arial"/>
          <w:sz w:val="24"/>
          <w:szCs w:val="24"/>
        </w:rPr>
      </w:pPr>
    </w:p>
    <w:p w:rsidR="00C90691" w:rsidRDefault="00885BB4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Ocupados</w:t>
      </w:r>
      <w:r w:rsidR="007A2902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segundo idade. Datos en miles.</w:t>
      </w:r>
    </w:p>
    <w:tbl>
      <w:tblPr>
        <w:tblStyle w:val="Sombreadomedio2-nfasis11"/>
        <w:tblW w:w="7702" w:type="dxa"/>
        <w:tblLook w:val="04A0"/>
      </w:tblPr>
      <w:tblGrid>
        <w:gridCol w:w="2808"/>
        <w:gridCol w:w="995"/>
        <w:gridCol w:w="968"/>
        <w:gridCol w:w="995"/>
        <w:gridCol w:w="907"/>
        <w:gridCol w:w="1029"/>
      </w:tblGrid>
      <w:tr w:rsidR="00C90691" w:rsidRPr="00C90691" w:rsidTr="00A64713">
        <w:trPr>
          <w:cnfStyle w:val="100000000000"/>
          <w:trHeight w:val="255"/>
        </w:trPr>
        <w:tc>
          <w:tcPr>
            <w:cnfStyle w:val="001000000100"/>
            <w:tcW w:w="2808" w:type="dxa"/>
            <w:noWrap/>
            <w:hideMark/>
          </w:tcPr>
          <w:p w:rsidR="00C90691" w:rsidRPr="00C90691" w:rsidRDefault="00C90691" w:rsidP="00C906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90691" w:rsidRPr="00C90691" w:rsidRDefault="00C90691" w:rsidP="00C90691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noWrap/>
            <w:hideMark/>
          </w:tcPr>
          <w:p w:rsidR="00C90691" w:rsidRPr="00C90691" w:rsidRDefault="00C90691" w:rsidP="00C90691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hideMark/>
          </w:tcPr>
          <w:p w:rsidR="00C90691" w:rsidRPr="00C90691" w:rsidRDefault="00C90691" w:rsidP="00C90691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  <w:noWrap/>
            <w:hideMark/>
          </w:tcPr>
          <w:p w:rsidR="00C90691" w:rsidRPr="00C90691" w:rsidRDefault="00C90691" w:rsidP="00C9069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 xml:space="preserve">Variación </w:t>
            </w:r>
          </w:p>
        </w:tc>
      </w:tr>
      <w:tr w:rsidR="00C90691" w:rsidRPr="00C90691" w:rsidTr="00A64713">
        <w:trPr>
          <w:cnfStyle w:val="000000100000"/>
          <w:trHeight w:val="255"/>
        </w:trPr>
        <w:tc>
          <w:tcPr>
            <w:cnfStyle w:val="001000000000"/>
            <w:tcW w:w="2808" w:type="dxa"/>
            <w:hideMark/>
          </w:tcPr>
          <w:p w:rsidR="00C90691" w:rsidRPr="00C90691" w:rsidRDefault="00C90691" w:rsidP="00C906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C90691" w:rsidRPr="00C90691" w:rsidRDefault="00C90691" w:rsidP="00C9069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68" w:type="dxa"/>
            <w:hideMark/>
          </w:tcPr>
          <w:p w:rsidR="00C90691" w:rsidRPr="00C90691" w:rsidRDefault="00C90691" w:rsidP="00C9069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C90691" w:rsidRPr="00C90691" w:rsidRDefault="00C90691" w:rsidP="00C9069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C90691" w:rsidRPr="00C90691" w:rsidRDefault="00C90691" w:rsidP="00C90691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15/14</w:t>
            </w:r>
          </w:p>
        </w:tc>
        <w:tc>
          <w:tcPr>
            <w:tcW w:w="1029" w:type="dxa"/>
            <w:noWrap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/10</w:t>
            </w:r>
          </w:p>
        </w:tc>
      </w:tr>
      <w:tr w:rsidR="00C90691" w:rsidRPr="00C90691" w:rsidTr="00A64713">
        <w:trPr>
          <w:trHeight w:val="255"/>
        </w:trPr>
        <w:tc>
          <w:tcPr>
            <w:cnfStyle w:val="001000000000"/>
            <w:tcW w:w="2808" w:type="dxa"/>
            <w:hideMark/>
          </w:tcPr>
          <w:p w:rsidR="00C90691" w:rsidRPr="00C90691" w:rsidRDefault="00C90691" w:rsidP="00C906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95" w:type="dxa"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1.104,50</w:t>
            </w:r>
          </w:p>
        </w:tc>
        <w:tc>
          <w:tcPr>
            <w:tcW w:w="968" w:type="dxa"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1.017,20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19,20</w:t>
            </w:r>
          </w:p>
        </w:tc>
        <w:tc>
          <w:tcPr>
            <w:tcW w:w="1029" w:type="dxa"/>
            <w:noWrap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-87,30</w:t>
            </w:r>
          </w:p>
        </w:tc>
      </w:tr>
      <w:tr w:rsidR="00C90691" w:rsidRPr="00C90691" w:rsidTr="00A64713">
        <w:trPr>
          <w:cnfStyle w:val="000000100000"/>
          <w:trHeight w:val="255"/>
        </w:trPr>
        <w:tc>
          <w:tcPr>
            <w:cnfStyle w:val="001000000000"/>
            <w:tcW w:w="2808" w:type="dxa"/>
            <w:hideMark/>
          </w:tcPr>
          <w:p w:rsidR="00C90691" w:rsidRPr="00C90691" w:rsidRDefault="00C90691" w:rsidP="00C906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De 16 a 24 anos</w:t>
            </w:r>
          </w:p>
        </w:tc>
        <w:tc>
          <w:tcPr>
            <w:tcW w:w="995" w:type="dxa"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60,7</w:t>
            </w:r>
          </w:p>
        </w:tc>
        <w:tc>
          <w:tcPr>
            <w:tcW w:w="968" w:type="dxa"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36,4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-0,20</w:t>
            </w:r>
          </w:p>
        </w:tc>
        <w:tc>
          <w:tcPr>
            <w:tcW w:w="1029" w:type="dxa"/>
            <w:noWrap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-24,50</w:t>
            </w:r>
          </w:p>
        </w:tc>
      </w:tr>
      <w:tr w:rsidR="00C90691" w:rsidRPr="00C90691" w:rsidTr="00A64713">
        <w:trPr>
          <w:trHeight w:val="255"/>
        </w:trPr>
        <w:tc>
          <w:tcPr>
            <w:cnfStyle w:val="001000000000"/>
            <w:tcW w:w="2808" w:type="dxa"/>
            <w:hideMark/>
          </w:tcPr>
          <w:p w:rsidR="00C90691" w:rsidRPr="00C90691" w:rsidRDefault="00C90691" w:rsidP="00C906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De 25 a 34 anos</w:t>
            </w:r>
          </w:p>
        </w:tc>
        <w:tc>
          <w:tcPr>
            <w:tcW w:w="995" w:type="dxa"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282,1</w:t>
            </w:r>
          </w:p>
        </w:tc>
        <w:tc>
          <w:tcPr>
            <w:tcW w:w="968" w:type="dxa"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213,9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208,1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-5,80</w:t>
            </w:r>
          </w:p>
        </w:tc>
        <w:tc>
          <w:tcPr>
            <w:tcW w:w="1029" w:type="dxa"/>
            <w:noWrap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-74,00</w:t>
            </w:r>
          </w:p>
        </w:tc>
      </w:tr>
      <w:tr w:rsidR="00C90691" w:rsidRPr="00C90691" w:rsidTr="00A64713">
        <w:trPr>
          <w:cnfStyle w:val="000000100000"/>
          <w:trHeight w:val="255"/>
        </w:trPr>
        <w:tc>
          <w:tcPr>
            <w:cnfStyle w:val="001000000000"/>
            <w:tcW w:w="2808" w:type="dxa"/>
            <w:hideMark/>
          </w:tcPr>
          <w:p w:rsidR="00C90691" w:rsidRPr="00C90691" w:rsidRDefault="00C90691" w:rsidP="00C906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De 35 a 44 anos</w:t>
            </w:r>
          </w:p>
        </w:tc>
        <w:tc>
          <w:tcPr>
            <w:tcW w:w="995" w:type="dxa"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321,9</w:t>
            </w:r>
          </w:p>
        </w:tc>
        <w:tc>
          <w:tcPr>
            <w:tcW w:w="968" w:type="dxa"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314,4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6,60</w:t>
            </w:r>
          </w:p>
        </w:tc>
        <w:tc>
          <w:tcPr>
            <w:tcW w:w="1029" w:type="dxa"/>
            <w:noWrap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-0,90</w:t>
            </w:r>
          </w:p>
        </w:tc>
      </w:tr>
      <w:tr w:rsidR="00C90691" w:rsidRPr="00C90691" w:rsidTr="00A64713">
        <w:trPr>
          <w:trHeight w:val="255"/>
        </w:trPr>
        <w:tc>
          <w:tcPr>
            <w:cnfStyle w:val="001000000000"/>
            <w:tcW w:w="2808" w:type="dxa"/>
            <w:hideMark/>
          </w:tcPr>
          <w:p w:rsidR="00C90691" w:rsidRPr="00C90691" w:rsidRDefault="00C90691" w:rsidP="00C906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De 45 a 54 anos</w:t>
            </w:r>
          </w:p>
        </w:tc>
        <w:tc>
          <w:tcPr>
            <w:tcW w:w="995" w:type="dxa"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275,9</w:t>
            </w:r>
          </w:p>
        </w:tc>
        <w:tc>
          <w:tcPr>
            <w:tcW w:w="968" w:type="dxa"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275,6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7,60</w:t>
            </w:r>
          </w:p>
        </w:tc>
        <w:tc>
          <w:tcPr>
            <w:tcW w:w="1029" w:type="dxa"/>
            <w:noWrap/>
            <w:hideMark/>
          </w:tcPr>
          <w:p w:rsidR="00C90691" w:rsidRPr="00C90691" w:rsidRDefault="00C90691" w:rsidP="00C90691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-0,30</w:t>
            </w:r>
          </w:p>
        </w:tc>
      </w:tr>
      <w:tr w:rsidR="00C90691" w:rsidRPr="00C90691" w:rsidTr="00A64713">
        <w:trPr>
          <w:cnfStyle w:val="000000100000"/>
          <w:trHeight w:val="255"/>
        </w:trPr>
        <w:tc>
          <w:tcPr>
            <w:cnfStyle w:val="001000000000"/>
            <w:tcW w:w="2808" w:type="dxa"/>
            <w:hideMark/>
          </w:tcPr>
          <w:p w:rsidR="00C90691" w:rsidRPr="00C90691" w:rsidRDefault="00C90691" w:rsidP="00C906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De 55 e máis anos</w:t>
            </w:r>
          </w:p>
        </w:tc>
        <w:tc>
          <w:tcPr>
            <w:tcW w:w="995" w:type="dxa"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163,9</w:t>
            </w:r>
          </w:p>
        </w:tc>
        <w:tc>
          <w:tcPr>
            <w:tcW w:w="968" w:type="dxa"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165,4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176,3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</w:tcBorders>
            <w:noWrap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10,90</w:t>
            </w:r>
          </w:p>
        </w:tc>
        <w:tc>
          <w:tcPr>
            <w:tcW w:w="1029" w:type="dxa"/>
            <w:tcBorders>
              <w:bottom w:val="single" w:sz="18" w:space="0" w:color="auto"/>
            </w:tcBorders>
            <w:noWrap/>
            <w:hideMark/>
          </w:tcPr>
          <w:p w:rsidR="00C90691" w:rsidRPr="00C90691" w:rsidRDefault="00C90691" w:rsidP="00C90691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90691">
              <w:rPr>
                <w:rFonts w:ascii="Arial" w:eastAsia="Times New Roman" w:hAnsi="Arial" w:cs="Arial"/>
                <w:sz w:val="20"/>
                <w:szCs w:val="20"/>
              </w:rPr>
              <w:t>12,40</w:t>
            </w:r>
          </w:p>
        </w:tc>
      </w:tr>
    </w:tbl>
    <w:p w:rsidR="00A64713" w:rsidRDefault="00A64713" w:rsidP="00A64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C90691" w:rsidRDefault="00A64713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desmoralizante ver</w:t>
      </w:r>
      <w:r w:rsidR="007A29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ano tras ano</w:t>
      </w:r>
      <w:r w:rsidR="007A29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se vai reducindo a mocidade con emprego en G</w:t>
      </w:r>
      <w:r w:rsidR="00E0776D">
        <w:rPr>
          <w:rFonts w:ascii="Arial" w:hAnsi="Arial" w:cs="Arial"/>
          <w:sz w:val="24"/>
          <w:szCs w:val="24"/>
        </w:rPr>
        <w:t>aliza</w:t>
      </w:r>
      <w:r w:rsidR="007A2902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>urante 2015</w:t>
      </w:r>
      <w:r w:rsidR="007A2902">
        <w:rPr>
          <w:rFonts w:ascii="Arial" w:hAnsi="Arial" w:cs="Arial"/>
          <w:sz w:val="24"/>
          <w:szCs w:val="24"/>
        </w:rPr>
        <w:t xml:space="preserve"> (ano no que,</w:t>
      </w:r>
      <w:r>
        <w:rPr>
          <w:rFonts w:ascii="Arial" w:hAnsi="Arial" w:cs="Arial"/>
          <w:sz w:val="24"/>
          <w:szCs w:val="24"/>
        </w:rPr>
        <w:t xml:space="preserve"> de media</w:t>
      </w:r>
      <w:r w:rsidR="007A29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medrou a ocupación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19.200 ocupados e ocupadas</w:t>
      </w:r>
      <w:r w:rsidR="007A290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entre os menores de 35 anos </w:t>
      </w:r>
      <w:r w:rsidR="007A2902">
        <w:rPr>
          <w:rFonts w:ascii="Arial" w:hAnsi="Arial" w:cs="Arial"/>
          <w:sz w:val="24"/>
          <w:szCs w:val="24"/>
        </w:rPr>
        <w:t xml:space="preserve">a ocupación </w:t>
      </w:r>
      <w:r>
        <w:rPr>
          <w:rFonts w:ascii="Arial" w:hAnsi="Arial" w:cs="Arial"/>
          <w:sz w:val="24"/>
          <w:szCs w:val="24"/>
        </w:rPr>
        <w:t xml:space="preserve">continuou descendendo, exactamente </w:t>
      </w:r>
      <w:r w:rsidR="007A2902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6.000 empregados</w:t>
      </w:r>
      <w:r w:rsidR="007A2902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menos.</w:t>
      </w:r>
    </w:p>
    <w:p w:rsidR="00C90691" w:rsidRDefault="00A64713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nos retrotraemos</w:t>
      </w:r>
      <w:r w:rsidR="00E0776D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ano 2010, son preto de 100.000</w:t>
      </w:r>
      <w:r w:rsidR="00A02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ocupados/as menos nesta franxa de idade.</w:t>
      </w:r>
    </w:p>
    <w:p w:rsidR="00CA63CB" w:rsidRDefault="00CA63CB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último ano aumentou a ocupación entre a poboación con máis de 35. Especialmente</w:t>
      </w:r>
      <w:r w:rsidR="007A29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entre as de máis idade, a partir dos 55.</w:t>
      </w:r>
    </w:p>
    <w:p w:rsidR="00CA63CB" w:rsidRDefault="00CA63CB" w:rsidP="005F10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tendencia está envellecendo fortemente o mercado de traballo en G</w:t>
      </w:r>
      <w:r w:rsidR="00E0776D">
        <w:rPr>
          <w:rFonts w:ascii="Arial" w:hAnsi="Arial" w:cs="Arial"/>
          <w:sz w:val="24"/>
          <w:szCs w:val="24"/>
        </w:rPr>
        <w:t>aliza</w:t>
      </w:r>
      <w:r w:rsidR="007A2902">
        <w:rPr>
          <w:rFonts w:ascii="Arial" w:hAnsi="Arial" w:cs="Arial"/>
          <w:sz w:val="24"/>
          <w:szCs w:val="24"/>
        </w:rPr>
        <w:t xml:space="preserve">. </w:t>
      </w:r>
      <w:r w:rsidR="007A2902">
        <w:rPr>
          <w:rFonts w:ascii="Arial" w:hAnsi="Arial" w:cs="Arial"/>
          <w:b/>
          <w:sz w:val="24"/>
          <w:szCs w:val="24"/>
        </w:rPr>
        <w:t>No</w:t>
      </w:r>
      <w:r w:rsidRPr="00CA63CB">
        <w:rPr>
          <w:rFonts w:ascii="Arial" w:hAnsi="Arial" w:cs="Arial"/>
          <w:b/>
          <w:sz w:val="24"/>
          <w:szCs w:val="24"/>
        </w:rPr>
        <w:t xml:space="preserve"> ano 2010 </w:t>
      </w:r>
      <w:r w:rsidR="007A2902">
        <w:rPr>
          <w:rFonts w:ascii="Arial" w:hAnsi="Arial" w:cs="Arial"/>
          <w:b/>
          <w:sz w:val="24"/>
          <w:szCs w:val="24"/>
        </w:rPr>
        <w:t>as persoa</w:t>
      </w:r>
      <w:r w:rsidRPr="00CA63CB">
        <w:rPr>
          <w:rFonts w:ascii="Arial" w:hAnsi="Arial" w:cs="Arial"/>
          <w:b/>
          <w:sz w:val="24"/>
          <w:szCs w:val="24"/>
        </w:rPr>
        <w:t>s</w:t>
      </w:r>
      <w:r w:rsidR="00E0776D">
        <w:rPr>
          <w:rFonts w:ascii="Arial" w:hAnsi="Arial" w:cs="Arial"/>
          <w:b/>
          <w:sz w:val="24"/>
          <w:szCs w:val="24"/>
        </w:rPr>
        <w:t xml:space="preserve"> </w:t>
      </w:r>
      <w:r w:rsidRPr="00CA63CB">
        <w:rPr>
          <w:rFonts w:ascii="Arial" w:hAnsi="Arial" w:cs="Arial"/>
          <w:b/>
          <w:sz w:val="24"/>
          <w:szCs w:val="24"/>
        </w:rPr>
        <w:t>menores de 35 anos representaban o 31% dos ocupados</w:t>
      </w:r>
      <w:r w:rsidR="007A2902">
        <w:rPr>
          <w:rFonts w:ascii="Arial" w:hAnsi="Arial" w:cs="Arial"/>
          <w:b/>
          <w:sz w:val="24"/>
          <w:szCs w:val="24"/>
        </w:rPr>
        <w:t xml:space="preserve">/as; </w:t>
      </w:r>
      <w:r w:rsidRPr="00CA63CB">
        <w:rPr>
          <w:rFonts w:ascii="Arial" w:hAnsi="Arial" w:cs="Arial"/>
          <w:b/>
          <w:sz w:val="24"/>
          <w:szCs w:val="24"/>
        </w:rPr>
        <w:t>a</w:t>
      </w:r>
      <w:r w:rsidR="0068121F">
        <w:rPr>
          <w:rFonts w:ascii="Arial" w:hAnsi="Arial" w:cs="Arial"/>
          <w:b/>
          <w:sz w:val="24"/>
          <w:szCs w:val="24"/>
        </w:rPr>
        <w:t xml:space="preserve"> </w:t>
      </w:r>
      <w:r w:rsidRPr="00CA63CB">
        <w:rPr>
          <w:rFonts w:ascii="Arial" w:hAnsi="Arial" w:cs="Arial"/>
          <w:b/>
          <w:sz w:val="24"/>
          <w:szCs w:val="24"/>
        </w:rPr>
        <w:t>finais de 2015</w:t>
      </w:r>
      <w:r w:rsidR="007A2902">
        <w:rPr>
          <w:rFonts w:ascii="Arial" w:hAnsi="Arial" w:cs="Arial"/>
          <w:b/>
          <w:sz w:val="24"/>
          <w:szCs w:val="24"/>
        </w:rPr>
        <w:t>,</w:t>
      </w:r>
      <w:r w:rsidRPr="00CA63CB">
        <w:rPr>
          <w:rFonts w:ascii="Arial" w:hAnsi="Arial" w:cs="Arial"/>
          <w:b/>
          <w:sz w:val="24"/>
          <w:szCs w:val="24"/>
        </w:rPr>
        <w:t xml:space="preserve"> o 24%.</w:t>
      </w:r>
    </w:p>
    <w:p w:rsidR="0068121F" w:rsidRDefault="0068121F" w:rsidP="005F10A7">
      <w:pPr>
        <w:rPr>
          <w:rFonts w:ascii="Arial" w:hAnsi="Arial" w:cs="Arial"/>
          <w:b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b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b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b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b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b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b/>
          <w:sz w:val="24"/>
          <w:szCs w:val="24"/>
        </w:rPr>
      </w:pPr>
    </w:p>
    <w:p w:rsidR="00DF626B" w:rsidRPr="0068121F" w:rsidRDefault="0068121F" w:rsidP="0068121F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68121F">
        <w:rPr>
          <w:rFonts w:ascii="Arial" w:hAnsi="Arial" w:cs="Arial"/>
          <w:b/>
          <w:sz w:val="28"/>
          <w:szCs w:val="28"/>
        </w:rPr>
        <w:lastRenderedPageBreak/>
        <w:t>Forte descenso da ocupación no sector agrario</w:t>
      </w:r>
      <w:r>
        <w:rPr>
          <w:rFonts w:ascii="Arial" w:hAnsi="Arial" w:cs="Arial"/>
          <w:b/>
          <w:sz w:val="28"/>
          <w:szCs w:val="28"/>
        </w:rPr>
        <w:t xml:space="preserve"> e gandeiro</w:t>
      </w:r>
      <w:r>
        <w:rPr>
          <w:rFonts w:ascii="Arial" w:hAnsi="Arial" w:cs="Arial"/>
          <w:b/>
          <w:sz w:val="24"/>
          <w:szCs w:val="24"/>
        </w:rPr>
        <w:t>.</w:t>
      </w:r>
    </w:p>
    <w:p w:rsidR="0068121F" w:rsidRPr="0068121F" w:rsidRDefault="0068121F" w:rsidP="005F10A7">
      <w:pPr>
        <w:rPr>
          <w:rFonts w:ascii="Arial" w:hAnsi="Arial" w:cs="Arial"/>
          <w:sz w:val="24"/>
          <w:szCs w:val="24"/>
        </w:rPr>
      </w:pPr>
      <w:r w:rsidRPr="0068121F">
        <w:rPr>
          <w:rFonts w:ascii="Arial" w:hAnsi="Arial" w:cs="Arial"/>
          <w:sz w:val="24"/>
          <w:szCs w:val="24"/>
        </w:rPr>
        <w:t>Ocupado</w:t>
      </w:r>
      <w:r w:rsidR="007A2902">
        <w:rPr>
          <w:rFonts w:ascii="Arial" w:hAnsi="Arial" w:cs="Arial"/>
          <w:sz w:val="24"/>
          <w:szCs w:val="24"/>
        </w:rPr>
        <w:t>s/a</w:t>
      </w:r>
      <w:r w:rsidRPr="0068121F">
        <w:rPr>
          <w:rFonts w:ascii="Arial" w:hAnsi="Arial" w:cs="Arial"/>
          <w:sz w:val="24"/>
          <w:szCs w:val="24"/>
        </w:rPr>
        <w:t>s segundo sector económico. Datos en miles.</w:t>
      </w:r>
    </w:p>
    <w:tbl>
      <w:tblPr>
        <w:tblStyle w:val="Sombreadomedio2-nfasis11"/>
        <w:tblW w:w="7600" w:type="dxa"/>
        <w:tblLook w:val="04A0"/>
      </w:tblPr>
      <w:tblGrid>
        <w:gridCol w:w="2715"/>
        <w:gridCol w:w="995"/>
        <w:gridCol w:w="943"/>
        <w:gridCol w:w="995"/>
        <w:gridCol w:w="976"/>
        <w:gridCol w:w="976"/>
      </w:tblGrid>
      <w:tr w:rsidR="0068121F" w:rsidRPr="0068121F" w:rsidTr="004508AE">
        <w:trPr>
          <w:cnfStyle w:val="100000000000"/>
          <w:trHeight w:val="255"/>
        </w:trPr>
        <w:tc>
          <w:tcPr>
            <w:cnfStyle w:val="001000000100"/>
            <w:tcW w:w="2715" w:type="dxa"/>
            <w:hideMark/>
          </w:tcPr>
          <w:p w:rsidR="0068121F" w:rsidRPr="0068121F" w:rsidRDefault="0068121F" w:rsidP="006812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68121F" w:rsidRPr="0068121F" w:rsidRDefault="0068121F" w:rsidP="0068121F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43" w:type="dxa"/>
            <w:hideMark/>
          </w:tcPr>
          <w:p w:rsidR="0068121F" w:rsidRPr="0068121F" w:rsidRDefault="0068121F" w:rsidP="0068121F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68121F" w:rsidRPr="0068121F" w:rsidRDefault="0068121F" w:rsidP="0068121F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:rsidR="0068121F" w:rsidRPr="0068121F" w:rsidRDefault="004508AE" w:rsidP="0068121F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15/14</w:t>
            </w:r>
          </w:p>
        </w:tc>
        <w:tc>
          <w:tcPr>
            <w:tcW w:w="976" w:type="dxa"/>
            <w:noWrap/>
            <w:hideMark/>
          </w:tcPr>
          <w:p w:rsidR="0068121F" w:rsidRPr="0068121F" w:rsidRDefault="004508AE" w:rsidP="0068121F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15/10</w:t>
            </w:r>
          </w:p>
        </w:tc>
      </w:tr>
      <w:tr w:rsidR="0068121F" w:rsidRPr="0068121F" w:rsidTr="004508AE">
        <w:trPr>
          <w:cnfStyle w:val="000000100000"/>
          <w:trHeight w:val="255"/>
        </w:trPr>
        <w:tc>
          <w:tcPr>
            <w:cnfStyle w:val="001000000000"/>
            <w:tcW w:w="2715" w:type="dxa"/>
            <w:hideMark/>
          </w:tcPr>
          <w:p w:rsidR="0068121F" w:rsidRPr="0068121F" w:rsidRDefault="0068121F" w:rsidP="006812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95" w:type="dxa"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1.104,50</w:t>
            </w:r>
          </w:p>
        </w:tc>
        <w:tc>
          <w:tcPr>
            <w:tcW w:w="943" w:type="dxa"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1.017,20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19,20</w:t>
            </w:r>
          </w:p>
        </w:tc>
        <w:tc>
          <w:tcPr>
            <w:tcW w:w="976" w:type="dxa"/>
            <w:noWrap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-87,30</w:t>
            </w:r>
          </w:p>
        </w:tc>
      </w:tr>
      <w:tr w:rsidR="0068121F" w:rsidRPr="0068121F" w:rsidTr="004508AE">
        <w:trPr>
          <w:trHeight w:val="510"/>
        </w:trPr>
        <w:tc>
          <w:tcPr>
            <w:cnfStyle w:val="001000000000"/>
            <w:tcW w:w="2715" w:type="dxa"/>
            <w:hideMark/>
          </w:tcPr>
          <w:p w:rsidR="0068121F" w:rsidRPr="0068121F" w:rsidRDefault="0068121F" w:rsidP="006812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Agricultura, gandaría, caza e silvicultura</w:t>
            </w:r>
          </w:p>
        </w:tc>
        <w:tc>
          <w:tcPr>
            <w:tcW w:w="995" w:type="dxa"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67,9</w:t>
            </w:r>
          </w:p>
        </w:tc>
        <w:tc>
          <w:tcPr>
            <w:tcW w:w="943" w:type="dxa"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49,1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45,6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-3,50</w:t>
            </w:r>
          </w:p>
        </w:tc>
        <w:tc>
          <w:tcPr>
            <w:tcW w:w="976" w:type="dxa"/>
            <w:noWrap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-22,30</w:t>
            </w:r>
          </w:p>
        </w:tc>
      </w:tr>
      <w:tr w:rsidR="0068121F" w:rsidRPr="0068121F" w:rsidTr="004508AE">
        <w:trPr>
          <w:cnfStyle w:val="000000100000"/>
          <w:trHeight w:val="255"/>
        </w:trPr>
        <w:tc>
          <w:tcPr>
            <w:cnfStyle w:val="001000000000"/>
            <w:tcW w:w="2715" w:type="dxa"/>
            <w:hideMark/>
          </w:tcPr>
          <w:p w:rsidR="0068121F" w:rsidRPr="0068121F" w:rsidRDefault="0068121F" w:rsidP="006812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Pesca e acuicultura</w:t>
            </w:r>
          </w:p>
        </w:tc>
        <w:tc>
          <w:tcPr>
            <w:tcW w:w="995" w:type="dxa"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20,4</w:t>
            </w:r>
          </w:p>
        </w:tc>
        <w:tc>
          <w:tcPr>
            <w:tcW w:w="943" w:type="dxa"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18,1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  <w:tc>
          <w:tcPr>
            <w:tcW w:w="976" w:type="dxa"/>
            <w:noWrap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-2,30</w:t>
            </w:r>
          </w:p>
        </w:tc>
      </w:tr>
      <w:tr w:rsidR="0068121F" w:rsidRPr="0068121F" w:rsidTr="004508AE">
        <w:trPr>
          <w:trHeight w:val="255"/>
        </w:trPr>
        <w:tc>
          <w:tcPr>
            <w:cnfStyle w:val="001000000000"/>
            <w:tcW w:w="2715" w:type="dxa"/>
            <w:hideMark/>
          </w:tcPr>
          <w:p w:rsidR="0068121F" w:rsidRPr="0068121F" w:rsidRDefault="0068121F" w:rsidP="006812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Industria</w:t>
            </w:r>
          </w:p>
        </w:tc>
        <w:tc>
          <w:tcPr>
            <w:tcW w:w="995" w:type="dxa"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172,7</w:t>
            </w:r>
          </w:p>
        </w:tc>
        <w:tc>
          <w:tcPr>
            <w:tcW w:w="943" w:type="dxa"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159,5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5,50</w:t>
            </w:r>
          </w:p>
        </w:tc>
        <w:tc>
          <w:tcPr>
            <w:tcW w:w="976" w:type="dxa"/>
            <w:noWrap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-13,20</w:t>
            </w:r>
          </w:p>
        </w:tc>
      </w:tr>
      <w:tr w:rsidR="0068121F" w:rsidRPr="0068121F" w:rsidTr="004508AE">
        <w:trPr>
          <w:cnfStyle w:val="000000100000"/>
          <w:trHeight w:val="255"/>
        </w:trPr>
        <w:tc>
          <w:tcPr>
            <w:cnfStyle w:val="001000000000"/>
            <w:tcW w:w="2715" w:type="dxa"/>
            <w:hideMark/>
          </w:tcPr>
          <w:p w:rsidR="0068121F" w:rsidRPr="0068121F" w:rsidRDefault="0068121F" w:rsidP="006812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Construción</w:t>
            </w:r>
          </w:p>
        </w:tc>
        <w:tc>
          <w:tcPr>
            <w:tcW w:w="995" w:type="dxa"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104,9</w:t>
            </w:r>
          </w:p>
        </w:tc>
        <w:tc>
          <w:tcPr>
            <w:tcW w:w="943" w:type="dxa"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67,1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73,6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6,50</w:t>
            </w:r>
          </w:p>
        </w:tc>
        <w:tc>
          <w:tcPr>
            <w:tcW w:w="976" w:type="dxa"/>
            <w:noWrap/>
            <w:hideMark/>
          </w:tcPr>
          <w:p w:rsidR="0068121F" w:rsidRPr="0068121F" w:rsidRDefault="0068121F" w:rsidP="0068121F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-31,30</w:t>
            </w:r>
          </w:p>
        </w:tc>
      </w:tr>
      <w:tr w:rsidR="0068121F" w:rsidRPr="0068121F" w:rsidTr="004508AE">
        <w:trPr>
          <w:trHeight w:val="255"/>
        </w:trPr>
        <w:tc>
          <w:tcPr>
            <w:cnfStyle w:val="001000000000"/>
            <w:tcW w:w="2715" w:type="dxa"/>
            <w:hideMark/>
          </w:tcPr>
          <w:p w:rsidR="0068121F" w:rsidRPr="0068121F" w:rsidRDefault="0068121F" w:rsidP="006812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Servizos</w:t>
            </w:r>
          </w:p>
        </w:tc>
        <w:tc>
          <w:tcPr>
            <w:tcW w:w="995" w:type="dxa"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738,7</w:t>
            </w:r>
          </w:p>
        </w:tc>
        <w:tc>
          <w:tcPr>
            <w:tcW w:w="943" w:type="dxa"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710,7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720,4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18" w:space="0" w:color="auto"/>
            </w:tcBorders>
            <w:noWrap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9,70</w:t>
            </w:r>
          </w:p>
        </w:tc>
        <w:tc>
          <w:tcPr>
            <w:tcW w:w="976" w:type="dxa"/>
            <w:tcBorders>
              <w:bottom w:val="single" w:sz="18" w:space="0" w:color="auto"/>
            </w:tcBorders>
            <w:noWrap/>
            <w:hideMark/>
          </w:tcPr>
          <w:p w:rsidR="0068121F" w:rsidRPr="0068121F" w:rsidRDefault="0068121F" w:rsidP="0068121F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68121F">
              <w:rPr>
                <w:rFonts w:ascii="Arial" w:eastAsia="Times New Roman" w:hAnsi="Arial" w:cs="Arial"/>
                <w:sz w:val="20"/>
                <w:szCs w:val="20"/>
              </w:rPr>
              <w:t>-18,30</w:t>
            </w:r>
          </w:p>
        </w:tc>
      </w:tr>
    </w:tbl>
    <w:p w:rsidR="0068121F" w:rsidRDefault="0068121F" w:rsidP="0068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393B95" w:rsidRDefault="002657BD" w:rsidP="005F10A7">
      <w:pPr>
        <w:rPr>
          <w:rFonts w:ascii="Arial" w:hAnsi="Arial" w:cs="Arial"/>
          <w:sz w:val="24"/>
          <w:szCs w:val="24"/>
        </w:rPr>
      </w:pPr>
      <w:r w:rsidRPr="002657BD">
        <w:rPr>
          <w:rFonts w:ascii="Arial" w:hAnsi="Arial" w:cs="Arial"/>
          <w:sz w:val="24"/>
          <w:szCs w:val="24"/>
        </w:rPr>
        <w:t>Os conflitos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rúa </w:t>
      </w:r>
      <w:r w:rsidR="007A2902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que</w:t>
      </w:r>
      <w:r w:rsidR="00E0776D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 xml:space="preserve">longo de 2015 se viu abocado o sector gandeiro enténdense </w:t>
      </w:r>
      <w:r w:rsidR="007A290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vista dos datos anteriores</w:t>
      </w:r>
      <w:r w:rsidR="007A2902">
        <w:rPr>
          <w:rFonts w:ascii="Arial" w:hAnsi="Arial" w:cs="Arial"/>
          <w:sz w:val="24"/>
          <w:szCs w:val="24"/>
        </w:rPr>
        <w:t>. N</w:t>
      </w:r>
      <w:r>
        <w:rPr>
          <w:rFonts w:ascii="Arial" w:hAnsi="Arial" w:cs="Arial"/>
          <w:sz w:val="24"/>
          <w:szCs w:val="24"/>
        </w:rPr>
        <w:t xml:space="preserve">o último ano, </w:t>
      </w:r>
      <w:r w:rsidR="007A2902"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>foi no único sector onde descendeu a ocupación, e f</w:t>
      </w:r>
      <w:r w:rsidR="007A2902">
        <w:rPr>
          <w:rFonts w:ascii="Arial" w:hAnsi="Arial" w:cs="Arial"/>
          <w:sz w:val="24"/>
          <w:szCs w:val="24"/>
        </w:rPr>
        <w:t>íxoo</w:t>
      </w:r>
      <w:r>
        <w:rPr>
          <w:rFonts w:ascii="Arial" w:hAnsi="Arial" w:cs="Arial"/>
          <w:sz w:val="24"/>
          <w:szCs w:val="24"/>
        </w:rPr>
        <w:t xml:space="preserve"> nunha cantidade nada despre</w:t>
      </w:r>
      <w:r w:rsidR="007A2902">
        <w:rPr>
          <w:rFonts w:ascii="Arial" w:hAnsi="Arial" w:cs="Arial"/>
          <w:sz w:val="24"/>
          <w:szCs w:val="24"/>
        </w:rPr>
        <w:t>zábel</w:t>
      </w:r>
      <w:r>
        <w:rPr>
          <w:rFonts w:ascii="Arial" w:hAnsi="Arial" w:cs="Arial"/>
          <w:sz w:val="24"/>
          <w:szCs w:val="24"/>
        </w:rPr>
        <w:t>, 3.500 ocupados</w:t>
      </w:r>
      <w:r w:rsidR="00393B95">
        <w:rPr>
          <w:rFonts w:ascii="Arial" w:hAnsi="Arial" w:cs="Arial"/>
          <w:sz w:val="24"/>
          <w:szCs w:val="24"/>
        </w:rPr>
        <w:t>/as</w:t>
      </w:r>
      <w:r w:rsidR="007A2902">
        <w:rPr>
          <w:rFonts w:ascii="Arial" w:hAnsi="Arial" w:cs="Arial"/>
          <w:sz w:val="24"/>
          <w:szCs w:val="24"/>
        </w:rPr>
        <w:t xml:space="preserve"> menos</w:t>
      </w:r>
      <w:r>
        <w:rPr>
          <w:rFonts w:ascii="Arial" w:hAnsi="Arial" w:cs="Arial"/>
          <w:sz w:val="24"/>
          <w:szCs w:val="24"/>
        </w:rPr>
        <w:t>.</w:t>
      </w:r>
    </w:p>
    <w:p w:rsidR="0068121F" w:rsidRDefault="00393B95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debemos esquecer que neste sector a perda dun ocupado</w:t>
      </w:r>
      <w:r w:rsidR="007A2902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leva implícito na maioría dos casos o peche dunha explotación; e o peche dunha explotación en moitos casos o peche dunha casa, </w:t>
      </w:r>
      <w:r w:rsidR="007A290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así pouco a pouco outra aldea abandonada.</w:t>
      </w:r>
    </w:p>
    <w:p w:rsidR="00393B95" w:rsidRDefault="007A2902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 dúbida, este sector, e o que está a acontecer con el, </w:t>
      </w:r>
      <w:r w:rsidR="00393B95">
        <w:rPr>
          <w:rFonts w:ascii="Arial" w:hAnsi="Arial" w:cs="Arial"/>
          <w:sz w:val="24"/>
          <w:szCs w:val="24"/>
        </w:rPr>
        <w:t>é o gran ausente no debate</w:t>
      </w:r>
      <w:r>
        <w:rPr>
          <w:rFonts w:ascii="Arial" w:hAnsi="Arial" w:cs="Arial"/>
          <w:sz w:val="24"/>
          <w:szCs w:val="24"/>
        </w:rPr>
        <w:t>. F</w:t>
      </w:r>
      <w:r w:rsidR="00393B95">
        <w:rPr>
          <w:rFonts w:ascii="Arial" w:hAnsi="Arial" w:cs="Arial"/>
          <w:sz w:val="24"/>
          <w:szCs w:val="24"/>
        </w:rPr>
        <w:t>álase do estalido da burbulla na construción</w:t>
      </w:r>
      <w:r>
        <w:rPr>
          <w:rFonts w:ascii="Arial" w:hAnsi="Arial" w:cs="Arial"/>
          <w:sz w:val="24"/>
          <w:szCs w:val="24"/>
        </w:rPr>
        <w:t>, mais</w:t>
      </w:r>
      <w:r w:rsidR="00393B95">
        <w:rPr>
          <w:rFonts w:ascii="Arial" w:hAnsi="Arial" w:cs="Arial"/>
          <w:sz w:val="24"/>
          <w:szCs w:val="24"/>
        </w:rPr>
        <w:t>, en G</w:t>
      </w:r>
      <w:r w:rsidR="00E0776D">
        <w:rPr>
          <w:rFonts w:ascii="Arial" w:hAnsi="Arial" w:cs="Arial"/>
          <w:sz w:val="24"/>
          <w:szCs w:val="24"/>
        </w:rPr>
        <w:t>aliza</w:t>
      </w:r>
      <w:r w:rsidR="00393B95">
        <w:rPr>
          <w:rFonts w:ascii="Arial" w:hAnsi="Arial" w:cs="Arial"/>
          <w:sz w:val="24"/>
          <w:szCs w:val="24"/>
        </w:rPr>
        <w:t>, perdeuse practicamente o mesmo número de traballadores</w:t>
      </w:r>
      <w:r>
        <w:rPr>
          <w:rFonts w:ascii="Arial" w:hAnsi="Arial" w:cs="Arial"/>
          <w:sz w:val="24"/>
          <w:szCs w:val="24"/>
        </w:rPr>
        <w:t>/as</w:t>
      </w:r>
      <w:r w:rsidR="00393B95">
        <w:rPr>
          <w:rFonts w:ascii="Arial" w:hAnsi="Arial" w:cs="Arial"/>
          <w:sz w:val="24"/>
          <w:szCs w:val="24"/>
        </w:rPr>
        <w:t xml:space="preserve"> no sector da construción que na agricultura e gand</w:t>
      </w:r>
      <w:r>
        <w:rPr>
          <w:rFonts w:ascii="Arial" w:hAnsi="Arial" w:cs="Arial"/>
          <w:sz w:val="24"/>
          <w:szCs w:val="24"/>
        </w:rPr>
        <w:t xml:space="preserve">aría. Un sector que </w:t>
      </w:r>
      <w:r w:rsidR="00393B95">
        <w:rPr>
          <w:rFonts w:ascii="Arial" w:hAnsi="Arial" w:cs="Arial"/>
          <w:sz w:val="24"/>
          <w:szCs w:val="24"/>
        </w:rPr>
        <w:t>no ano 2010 acollía</w:t>
      </w:r>
      <w:r w:rsidR="00E0776D">
        <w:rPr>
          <w:rFonts w:ascii="Arial" w:hAnsi="Arial" w:cs="Arial"/>
          <w:sz w:val="24"/>
          <w:szCs w:val="24"/>
        </w:rPr>
        <w:t xml:space="preserve"> o </w:t>
      </w:r>
      <w:r w:rsidR="00393B95">
        <w:rPr>
          <w:rFonts w:ascii="Arial" w:hAnsi="Arial" w:cs="Arial"/>
          <w:sz w:val="24"/>
          <w:szCs w:val="24"/>
        </w:rPr>
        <w:t>6% dos ocupados</w:t>
      </w:r>
      <w:r>
        <w:rPr>
          <w:rFonts w:ascii="Arial" w:hAnsi="Arial" w:cs="Arial"/>
          <w:sz w:val="24"/>
          <w:szCs w:val="24"/>
        </w:rPr>
        <w:t>/as</w:t>
      </w:r>
      <w:r w:rsidR="00393B95">
        <w:rPr>
          <w:rFonts w:ascii="Arial" w:hAnsi="Arial" w:cs="Arial"/>
          <w:sz w:val="24"/>
          <w:szCs w:val="24"/>
        </w:rPr>
        <w:t xml:space="preserve"> en G</w:t>
      </w:r>
      <w:r w:rsidR="00E0776D">
        <w:rPr>
          <w:rFonts w:ascii="Arial" w:hAnsi="Arial" w:cs="Arial"/>
          <w:sz w:val="24"/>
          <w:szCs w:val="24"/>
        </w:rPr>
        <w:t>aliza</w:t>
      </w:r>
      <w:r w:rsidR="00393B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que </w:t>
      </w:r>
      <w:r w:rsidR="00393B95">
        <w:rPr>
          <w:rFonts w:ascii="Arial" w:hAnsi="Arial" w:cs="Arial"/>
          <w:sz w:val="24"/>
          <w:szCs w:val="24"/>
        </w:rPr>
        <w:t xml:space="preserve">a finais de 2015 </w:t>
      </w:r>
      <w:r>
        <w:rPr>
          <w:rFonts w:ascii="Arial" w:hAnsi="Arial" w:cs="Arial"/>
          <w:sz w:val="24"/>
          <w:szCs w:val="24"/>
        </w:rPr>
        <w:t xml:space="preserve">apenas chega ao 4,4%. E o problema leiteiro, lonxe de </w:t>
      </w:r>
      <w:r w:rsidR="00393B95">
        <w:rPr>
          <w:rFonts w:ascii="Arial" w:hAnsi="Arial" w:cs="Arial"/>
          <w:sz w:val="24"/>
          <w:szCs w:val="24"/>
        </w:rPr>
        <w:t>se resolver.</w:t>
      </w:r>
    </w:p>
    <w:p w:rsidR="00393B95" w:rsidRDefault="007A2902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Porén, n</w:t>
      </w:r>
      <w:r w:rsidR="007D31F1">
        <w:rPr>
          <w:rFonts w:ascii="Arial" w:hAnsi="Arial" w:cs="Arial"/>
          <w:sz w:val="24"/>
          <w:szCs w:val="24"/>
        </w:rPr>
        <w:t>o ano 2015, a maior recuperación do emprego produciuse no sector servizos.</w:t>
      </w: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601E15" w:rsidRPr="002657BD" w:rsidRDefault="00601E15" w:rsidP="005F10A7">
      <w:pPr>
        <w:rPr>
          <w:rFonts w:ascii="Arial" w:hAnsi="Arial" w:cs="Arial"/>
          <w:sz w:val="24"/>
          <w:szCs w:val="24"/>
        </w:rPr>
      </w:pPr>
    </w:p>
    <w:p w:rsidR="00A023BA" w:rsidRPr="00DF626B" w:rsidRDefault="00DF626B" w:rsidP="00DF626B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F626B">
        <w:rPr>
          <w:rFonts w:ascii="Arial" w:hAnsi="Arial" w:cs="Arial"/>
          <w:b/>
          <w:sz w:val="28"/>
          <w:szCs w:val="28"/>
        </w:rPr>
        <w:lastRenderedPageBreak/>
        <w:t xml:space="preserve">No ano 2015, aumentaron </w:t>
      </w:r>
      <w:r w:rsidR="0098088D">
        <w:rPr>
          <w:rFonts w:ascii="Arial" w:hAnsi="Arial" w:cs="Arial"/>
          <w:b/>
          <w:sz w:val="28"/>
          <w:szCs w:val="28"/>
        </w:rPr>
        <w:t>as persoa</w:t>
      </w:r>
      <w:r w:rsidRPr="00DF626B">
        <w:rPr>
          <w:rFonts w:ascii="Arial" w:hAnsi="Arial" w:cs="Arial"/>
          <w:b/>
          <w:sz w:val="28"/>
          <w:szCs w:val="28"/>
        </w:rPr>
        <w:t>s asalariad</w:t>
      </w:r>
      <w:r w:rsidR="0098088D">
        <w:rPr>
          <w:rFonts w:ascii="Arial" w:hAnsi="Arial" w:cs="Arial"/>
          <w:b/>
          <w:sz w:val="28"/>
          <w:szCs w:val="28"/>
        </w:rPr>
        <w:t>a</w:t>
      </w:r>
      <w:r w:rsidRPr="00DF626B">
        <w:rPr>
          <w:rFonts w:ascii="Arial" w:hAnsi="Arial" w:cs="Arial"/>
          <w:b/>
          <w:sz w:val="28"/>
          <w:szCs w:val="28"/>
        </w:rPr>
        <w:t>s no sector privado</w:t>
      </w:r>
      <w:r>
        <w:rPr>
          <w:rFonts w:ascii="Arial" w:hAnsi="Arial" w:cs="Arial"/>
          <w:sz w:val="24"/>
          <w:szCs w:val="24"/>
        </w:rPr>
        <w:t>.</w:t>
      </w:r>
    </w:p>
    <w:p w:rsidR="00DF626B" w:rsidRDefault="00DF626B" w:rsidP="005F10A7">
      <w:pPr>
        <w:rPr>
          <w:rFonts w:ascii="Arial" w:hAnsi="Arial" w:cs="Arial"/>
          <w:sz w:val="24"/>
          <w:szCs w:val="24"/>
        </w:rPr>
      </w:pPr>
    </w:p>
    <w:p w:rsidR="00A64713" w:rsidRDefault="00DF626B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Ocupados</w:t>
      </w:r>
      <w:r w:rsidR="007A2902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segundo situación profesional. Datos en miles.</w:t>
      </w:r>
    </w:p>
    <w:tbl>
      <w:tblPr>
        <w:tblStyle w:val="Sombreadomedio2-nfasis11"/>
        <w:tblW w:w="7600" w:type="dxa"/>
        <w:tblLook w:val="04A0"/>
      </w:tblPr>
      <w:tblGrid>
        <w:gridCol w:w="2728"/>
        <w:gridCol w:w="995"/>
        <w:gridCol w:w="946"/>
        <w:gridCol w:w="995"/>
        <w:gridCol w:w="907"/>
        <w:gridCol w:w="1029"/>
      </w:tblGrid>
      <w:tr w:rsidR="00DF626B" w:rsidRPr="00DF626B" w:rsidTr="00AE3CFE">
        <w:trPr>
          <w:cnfStyle w:val="100000000000"/>
          <w:trHeight w:val="255"/>
        </w:trPr>
        <w:tc>
          <w:tcPr>
            <w:cnfStyle w:val="001000000100"/>
            <w:tcW w:w="2728" w:type="dxa"/>
            <w:hideMark/>
          </w:tcPr>
          <w:p w:rsidR="00DF626B" w:rsidRPr="00DF626B" w:rsidRDefault="00DF626B" w:rsidP="00DF6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DF626B" w:rsidRPr="00DF626B" w:rsidRDefault="00DF626B" w:rsidP="00DF626B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46" w:type="dxa"/>
            <w:hideMark/>
          </w:tcPr>
          <w:p w:rsidR="00DF626B" w:rsidRPr="00DF626B" w:rsidRDefault="00DF626B" w:rsidP="00DF626B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DF626B" w:rsidRPr="00DF626B" w:rsidRDefault="00DF626B" w:rsidP="00DF626B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  <w:noWrap/>
            <w:hideMark/>
          </w:tcPr>
          <w:p w:rsidR="00DF626B" w:rsidRPr="00DF626B" w:rsidRDefault="00DF626B" w:rsidP="00DF626B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 xml:space="preserve">Variación </w:t>
            </w:r>
          </w:p>
        </w:tc>
      </w:tr>
      <w:tr w:rsidR="00DF626B" w:rsidRPr="00DF626B" w:rsidTr="00AE3CFE">
        <w:trPr>
          <w:cnfStyle w:val="000000100000"/>
          <w:trHeight w:val="255"/>
        </w:trPr>
        <w:tc>
          <w:tcPr>
            <w:cnfStyle w:val="001000000000"/>
            <w:tcW w:w="2728" w:type="dxa"/>
            <w:hideMark/>
          </w:tcPr>
          <w:p w:rsidR="00DF626B" w:rsidRPr="00DF626B" w:rsidRDefault="00DF626B" w:rsidP="00DF62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DF626B" w:rsidRPr="00DF626B" w:rsidRDefault="00DF626B" w:rsidP="00DF626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46" w:type="dxa"/>
            <w:hideMark/>
          </w:tcPr>
          <w:p w:rsidR="00DF626B" w:rsidRPr="00DF626B" w:rsidRDefault="00DF626B" w:rsidP="00DF626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DF626B" w:rsidRPr="00DF626B" w:rsidRDefault="00DF626B" w:rsidP="00DF626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DF626B" w:rsidRPr="00DF626B" w:rsidRDefault="00DF626B" w:rsidP="00DF626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15/14</w:t>
            </w:r>
          </w:p>
        </w:tc>
        <w:tc>
          <w:tcPr>
            <w:tcW w:w="1029" w:type="dxa"/>
            <w:noWrap/>
            <w:hideMark/>
          </w:tcPr>
          <w:p w:rsidR="00DF626B" w:rsidRPr="00DF626B" w:rsidRDefault="00DF626B" w:rsidP="004508AE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4508AE">
              <w:rPr>
                <w:rFonts w:ascii="Arial" w:eastAsia="Times New Roman" w:hAnsi="Arial" w:cs="Arial"/>
                <w:sz w:val="20"/>
                <w:szCs w:val="20"/>
              </w:rPr>
              <w:t>/10</w:t>
            </w:r>
          </w:p>
        </w:tc>
      </w:tr>
      <w:tr w:rsidR="00DF626B" w:rsidRPr="00DF626B" w:rsidTr="00AE3CFE">
        <w:trPr>
          <w:trHeight w:val="255"/>
        </w:trPr>
        <w:tc>
          <w:tcPr>
            <w:cnfStyle w:val="001000000000"/>
            <w:tcW w:w="2728" w:type="dxa"/>
            <w:hideMark/>
          </w:tcPr>
          <w:p w:rsidR="00DF626B" w:rsidRPr="00DF626B" w:rsidRDefault="00DF626B" w:rsidP="00DF6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95" w:type="dxa"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1.104,50</w:t>
            </w:r>
          </w:p>
        </w:tc>
        <w:tc>
          <w:tcPr>
            <w:tcW w:w="946" w:type="dxa"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1.017,20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19,20</w:t>
            </w:r>
          </w:p>
        </w:tc>
        <w:tc>
          <w:tcPr>
            <w:tcW w:w="1029" w:type="dxa"/>
            <w:noWrap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-87,30</w:t>
            </w:r>
          </w:p>
        </w:tc>
      </w:tr>
      <w:tr w:rsidR="00DF626B" w:rsidRPr="00DF626B" w:rsidTr="00AE3CFE">
        <w:trPr>
          <w:cnfStyle w:val="000000100000"/>
          <w:trHeight w:val="255"/>
        </w:trPr>
        <w:tc>
          <w:tcPr>
            <w:cnfStyle w:val="001000000000"/>
            <w:tcW w:w="2728" w:type="dxa"/>
            <w:hideMark/>
          </w:tcPr>
          <w:p w:rsidR="00DF626B" w:rsidRPr="00DF626B" w:rsidRDefault="00DF626B" w:rsidP="00DF6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Empresario con asalariados</w:t>
            </w:r>
          </w:p>
        </w:tc>
        <w:tc>
          <w:tcPr>
            <w:tcW w:w="995" w:type="dxa"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71,3</w:t>
            </w:r>
          </w:p>
        </w:tc>
        <w:tc>
          <w:tcPr>
            <w:tcW w:w="946" w:type="dxa"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65,2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68,9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3,70</w:t>
            </w:r>
          </w:p>
        </w:tc>
        <w:tc>
          <w:tcPr>
            <w:tcW w:w="1029" w:type="dxa"/>
            <w:noWrap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-2,40</w:t>
            </w:r>
          </w:p>
        </w:tc>
      </w:tr>
      <w:tr w:rsidR="00DF626B" w:rsidRPr="00DF626B" w:rsidTr="00AE3CFE">
        <w:trPr>
          <w:trHeight w:val="255"/>
        </w:trPr>
        <w:tc>
          <w:tcPr>
            <w:cnfStyle w:val="001000000000"/>
            <w:tcW w:w="2728" w:type="dxa"/>
            <w:hideMark/>
          </w:tcPr>
          <w:p w:rsidR="00DF626B" w:rsidRPr="00DF626B" w:rsidRDefault="00DF626B" w:rsidP="00DF6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 xml:space="preserve">Traballador independente </w:t>
            </w:r>
          </w:p>
        </w:tc>
        <w:tc>
          <w:tcPr>
            <w:tcW w:w="995" w:type="dxa"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154,2</w:t>
            </w:r>
          </w:p>
        </w:tc>
        <w:tc>
          <w:tcPr>
            <w:tcW w:w="946" w:type="dxa"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143,7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139,9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-3,80</w:t>
            </w:r>
          </w:p>
        </w:tc>
        <w:tc>
          <w:tcPr>
            <w:tcW w:w="1029" w:type="dxa"/>
            <w:noWrap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-14,30</w:t>
            </w:r>
          </w:p>
        </w:tc>
      </w:tr>
      <w:tr w:rsidR="00DF626B" w:rsidRPr="00DF626B" w:rsidTr="00AE3CFE">
        <w:trPr>
          <w:cnfStyle w:val="000000100000"/>
          <w:trHeight w:val="255"/>
        </w:trPr>
        <w:tc>
          <w:tcPr>
            <w:cnfStyle w:val="001000000000"/>
            <w:tcW w:w="2728" w:type="dxa"/>
            <w:hideMark/>
          </w:tcPr>
          <w:p w:rsidR="00DF626B" w:rsidRPr="00DF626B" w:rsidRDefault="00DF626B" w:rsidP="00DF6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Asalariado do sector público</w:t>
            </w:r>
          </w:p>
        </w:tc>
        <w:tc>
          <w:tcPr>
            <w:tcW w:w="995" w:type="dxa"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198,9</w:t>
            </w:r>
          </w:p>
        </w:tc>
        <w:tc>
          <w:tcPr>
            <w:tcW w:w="946" w:type="dxa"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182,7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-1,70</w:t>
            </w:r>
          </w:p>
        </w:tc>
        <w:tc>
          <w:tcPr>
            <w:tcW w:w="1029" w:type="dxa"/>
            <w:noWrap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-17,90</w:t>
            </w:r>
          </w:p>
        </w:tc>
      </w:tr>
      <w:tr w:rsidR="00DF626B" w:rsidRPr="00DF626B" w:rsidTr="00AE3CFE">
        <w:trPr>
          <w:trHeight w:val="255"/>
        </w:trPr>
        <w:tc>
          <w:tcPr>
            <w:cnfStyle w:val="001000000000"/>
            <w:tcW w:w="2728" w:type="dxa"/>
            <w:hideMark/>
          </w:tcPr>
          <w:p w:rsidR="00DF626B" w:rsidRPr="00DF626B" w:rsidRDefault="00DF626B" w:rsidP="00DF6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Asalariado do sector privado</w:t>
            </w:r>
          </w:p>
        </w:tc>
        <w:tc>
          <w:tcPr>
            <w:tcW w:w="995" w:type="dxa"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666,5</w:t>
            </w:r>
          </w:p>
        </w:tc>
        <w:tc>
          <w:tcPr>
            <w:tcW w:w="946" w:type="dxa"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596,8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619,2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22,40</w:t>
            </w:r>
          </w:p>
        </w:tc>
        <w:tc>
          <w:tcPr>
            <w:tcW w:w="1029" w:type="dxa"/>
            <w:noWrap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-47,30</w:t>
            </w:r>
          </w:p>
        </w:tc>
      </w:tr>
      <w:tr w:rsidR="00DF626B" w:rsidRPr="00DF626B" w:rsidTr="00AE3CFE">
        <w:trPr>
          <w:cnfStyle w:val="000000100000"/>
          <w:trHeight w:val="255"/>
        </w:trPr>
        <w:tc>
          <w:tcPr>
            <w:cnfStyle w:val="001000000000"/>
            <w:tcW w:w="2728" w:type="dxa"/>
            <w:hideMark/>
          </w:tcPr>
          <w:p w:rsidR="00DF626B" w:rsidRPr="00DF626B" w:rsidRDefault="00DF626B" w:rsidP="00DF6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Axuda familiar</w:t>
            </w:r>
          </w:p>
        </w:tc>
        <w:tc>
          <w:tcPr>
            <w:tcW w:w="995" w:type="dxa"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12,4</w:t>
            </w:r>
          </w:p>
        </w:tc>
        <w:tc>
          <w:tcPr>
            <w:tcW w:w="946" w:type="dxa"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-0,40</w:t>
            </w:r>
          </w:p>
        </w:tc>
        <w:tc>
          <w:tcPr>
            <w:tcW w:w="1029" w:type="dxa"/>
            <w:noWrap/>
            <w:hideMark/>
          </w:tcPr>
          <w:p w:rsidR="00DF626B" w:rsidRPr="00DF626B" w:rsidRDefault="00DF626B" w:rsidP="00DF626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-5,40</w:t>
            </w:r>
          </w:p>
        </w:tc>
      </w:tr>
      <w:tr w:rsidR="00DF626B" w:rsidRPr="00DF626B" w:rsidTr="00AE3CFE">
        <w:trPr>
          <w:trHeight w:val="255"/>
        </w:trPr>
        <w:tc>
          <w:tcPr>
            <w:cnfStyle w:val="001000000000"/>
            <w:tcW w:w="2728" w:type="dxa"/>
            <w:hideMark/>
          </w:tcPr>
          <w:p w:rsidR="00DF626B" w:rsidRPr="00DF626B" w:rsidRDefault="00DF626B" w:rsidP="00DF62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Outros</w:t>
            </w:r>
          </w:p>
        </w:tc>
        <w:tc>
          <w:tcPr>
            <w:tcW w:w="995" w:type="dxa"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946" w:type="dxa"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</w:tcBorders>
            <w:noWrap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-0,90</w:t>
            </w:r>
          </w:p>
        </w:tc>
        <w:tc>
          <w:tcPr>
            <w:tcW w:w="1029" w:type="dxa"/>
            <w:tcBorders>
              <w:bottom w:val="single" w:sz="18" w:space="0" w:color="auto"/>
            </w:tcBorders>
            <w:noWrap/>
            <w:hideMark/>
          </w:tcPr>
          <w:p w:rsidR="00DF626B" w:rsidRPr="00DF626B" w:rsidRDefault="00DF626B" w:rsidP="00DF626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F626B">
              <w:rPr>
                <w:rFonts w:ascii="Arial" w:eastAsia="Times New Roman" w:hAnsi="Arial" w:cs="Arial"/>
                <w:sz w:val="20"/>
                <w:szCs w:val="20"/>
              </w:rPr>
              <w:t>0,20</w:t>
            </w:r>
          </w:p>
        </w:tc>
      </w:tr>
    </w:tbl>
    <w:p w:rsidR="00DF626B" w:rsidRDefault="00DF626B" w:rsidP="00DF6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C90691" w:rsidRDefault="00014ADC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sector público contin</w:t>
      </w:r>
      <w:r w:rsidR="0098088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recortando os seus activos</w:t>
      </w:r>
      <w:r w:rsidR="0098088D">
        <w:rPr>
          <w:rFonts w:ascii="Arial" w:hAnsi="Arial" w:cs="Arial"/>
          <w:sz w:val="24"/>
          <w:szCs w:val="24"/>
        </w:rPr>
        <w:t>; n</w:t>
      </w:r>
      <w:r>
        <w:rPr>
          <w:rFonts w:ascii="Arial" w:hAnsi="Arial" w:cs="Arial"/>
          <w:sz w:val="24"/>
          <w:szCs w:val="24"/>
        </w:rPr>
        <w:t>o último ano</w:t>
      </w:r>
      <w:r w:rsidR="009808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1.700 persoas</w:t>
      </w:r>
      <w:r w:rsidR="0098088D">
        <w:rPr>
          <w:rFonts w:ascii="Arial" w:hAnsi="Arial" w:cs="Arial"/>
          <w:sz w:val="24"/>
          <w:szCs w:val="24"/>
        </w:rPr>
        <w:t>. Así,</w:t>
      </w:r>
      <w:r>
        <w:rPr>
          <w:rFonts w:ascii="Arial" w:hAnsi="Arial" w:cs="Arial"/>
          <w:sz w:val="24"/>
          <w:szCs w:val="24"/>
        </w:rPr>
        <w:t xml:space="preserve"> desde o ano 2010 a perda de emprego no sector público alcanzou a 17.900 empregados/as.</w:t>
      </w:r>
    </w:p>
    <w:p w:rsidR="00014ADC" w:rsidRDefault="00014ADC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máis medrou a ocupación</w:t>
      </w:r>
      <w:r w:rsidR="0068121F">
        <w:rPr>
          <w:rFonts w:ascii="Arial" w:hAnsi="Arial" w:cs="Arial"/>
          <w:sz w:val="24"/>
          <w:szCs w:val="24"/>
        </w:rPr>
        <w:t>, durante 2015,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 entre os asalariados</w:t>
      </w:r>
      <w:r w:rsidR="0098088D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do sector privado</w:t>
      </w:r>
      <w:r w:rsidR="0098088D">
        <w:rPr>
          <w:rFonts w:ascii="Arial" w:hAnsi="Arial" w:cs="Arial"/>
          <w:sz w:val="24"/>
          <w:szCs w:val="24"/>
        </w:rPr>
        <w:t xml:space="preserve">. Así mesmo, </w:t>
      </w:r>
      <w:r w:rsidR="0068121F">
        <w:rPr>
          <w:rFonts w:ascii="Arial" w:hAnsi="Arial" w:cs="Arial"/>
          <w:sz w:val="24"/>
          <w:szCs w:val="24"/>
        </w:rPr>
        <w:t>aumentou lixeiramente o número de empresarios</w:t>
      </w:r>
      <w:r w:rsidR="0098088D">
        <w:rPr>
          <w:rFonts w:ascii="Arial" w:hAnsi="Arial" w:cs="Arial"/>
          <w:sz w:val="24"/>
          <w:szCs w:val="24"/>
        </w:rPr>
        <w:t>/as</w:t>
      </w:r>
      <w:r w:rsidR="0068121F">
        <w:rPr>
          <w:rFonts w:ascii="Arial" w:hAnsi="Arial" w:cs="Arial"/>
          <w:sz w:val="24"/>
          <w:szCs w:val="24"/>
        </w:rPr>
        <w:t xml:space="preserve"> con </w:t>
      </w:r>
      <w:r w:rsidR="0098088D">
        <w:rPr>
          <w:rFonts w:ascii="Arial" w:hAnsi="Arial" w:cs="Arial"/>
          <w:sz w:val="24"/>
          <w:szCs w:val="24"/>
        </w:rPr>
        <w:t xml:space="preserve">persoal </w:t>
      </w:r>
      <w:r w:rsidR="0068121F">
        <w:rPr>
          <w:rFonts w:ascii="Arial" w:hAnsi="Arial" w:cs="Arial"/>
          <w:sz w:val="24"/>
          <w:szCs w:val="24"/>
        </w:rPr>
        <w:t>asalariado a cargo.</w:t>
      </w:r>
    </w:p>
    <w:p w:rsidR="004508AE" w:rsidRDefault="004508AE" w:rsidP="004508A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508AE">
        <w:rPr>
          <w:rFonts w:ascii="Arial" w:hAnsi="Arial" w:cs="Arial"/>
          <w:b/>
          <w:sz w:val="28"/>
          <w:szCs w:val="28"/>
        </w:rPr>
        <w:t>Durante 2015, s</w:t>
      </w:r>
      <w:r w:rsidR="0098088D">
        <w:rPr>
          <w:rFonts w:ascii="Arial" w:hAnsi="Arial" w:cs="Arial"/>
          <w:b/>
          <w:sz w:val="28"/>
          <w:szCs w:val="28"/>
        </w:rPr>
        <w:t>ó</w:t>
      </w:r>
      <w:r w:rsidRPr="004508AE">
        <w:rPr>
          <w:rFonts w:ascii="Arial" w:hAnsi="Arial" w:cs="Arial"/>
          <w:b/>
          <w:sz w:val="28"/>
          <w:szCs w:val="28"/>
        </w:rPr>
        <w:t xml:space="preserve"> se creou emprego temporal</w:t>
      </w:r>
      <w:r>
        <w:rPr>
          <w:rFonts w:ascii="Arial" w:hAnsi="Arial" w:cs="Arial"/>
          <w:sz w:val="24"/>
          <w:szCs w:val="24"/>
        </w:rPr>
        <w:t>.</w:t>
      </w:r>
    </w:p>
    <w:p w:rsidR="004508AE" w:rsidRPr="004508AE" w:rsidRDefault="004508AE" w:rsidP="004508AE">
      <w:pPr>
        <w:pStyle w:val="Prrafodelista"/>
        <w:rPr>
          <w:rFonts w:ascii="Arial" w:hAnsi="Arial" w:cs="Arial"/>
          <w:sz w:val="24"/>
          <w:szCs w:val="24"/>
        </w:rPr>
      </w:pPr>
    </w:p>
    <w:p w:rsidR="004508AE" w:rsidRDefault="004508AE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Asalariados</w:t>
      </w:r>
      <w:r w:rsidR="0098088D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segundo tipo de contrato.</w:t>
      </w:r>
    </w:p>
    <w:tbl>
      <w:tblPr>
        <w:tblStyle w:val="Sombreadomedio2-nfasis11"/>
        <w:tblW w:w="8080" w:type="dxa"/>
        <w:tblLook w:val="04A0"/>
      </w:tblPr>
      <w:tblGrid>
        <w:gridCol w:w="2793"/>
        <w:gridCol w:w="1117"/>
        <w:gridCol w:w="1117"/>
        <w:gridCol w:w="1117"/>
        <w:gridCol w:w="907"/>
        <w:gridCol w:w="1029"/>
      </w:tblGrid>
      <w:tr w:rsidR="004508AE" w:rsidRPr="004508AE" w:rsidTr="004508AE">
        <w:trPr>
          <w:cnfStyle w:val="100000000000"/>
          <w:trHeight w:val="255"/>
        </w:trPr>
        <w:tc>
          <w:tcPr>
            <w:cnfStyle w:val="001000000100"/>
            <w:tcW w:w="2793" w:type="dxa"/>
            <w:hideMark/>
          </w:tcPr>
          <w:p w:rsidR="004508AE" w:rsidRPr="004508AE" w:rsidRDefault="004508AE" w:rsidP="004508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hideMark/>
          </w:tcPr>
          <w:p w:rsidR="004508AE" w:rsidRPr="004508AE" w:rsidRDefault="004508AE" w:rsidP="004508AE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Asalariados</w:t>
            </w:r>
          </w:p>
        </w:tc>
        <w:tc>
          <w:tcPr>
            <w:tcW w:w="1936" w:type="dxa"/>
            <w:gridSpan w:val="2"/>
            <w:noWrap/>
            <w:hideMark/>
          </w:tcPr>
          <w:p w:rsidR="004508AE" w:rsidRPr="004508AE" w:rsidRDefault="004508AE" w:rsidP="004508AE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 xml:space="preserve">Variación </w:t>
            </w:r>
          </w:p>
        </w:tc>
      </w:tr>
      <w:tr w:rsidR="004508AE" w:rsidRPr="004508AE" w:rsidTr="004508AE">
        <w:trPr>
          <w:cnfStyle w:val="000000100000"/>
          <w:trHeight w:val="255"/>
        </w:trPr>
        <w:tc>
          <w:tcPr>
            <w:cnfStyle w:val="001000000000"/>
            <w:tcW w:w="2793" w:type="dxa"/>
            <w:hideMark/>
          </w:tcPr>
          <w:p w:rsidR="004508AE" w:rsidRPr="004508AE" w:rsidRDefault="004508AE" w:rsidP="004508A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:rsidR="004508AE" w:rsidRPr="004508AE" w:rsidRDefault="004508AE" w:rsidP="004508AE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17" w:type="dxa"/>
            <w:hideMark/>
          </w:tcPr>
          <w:p w:rsidR="004508AE" w:rsidRPr="004508AE" w:rsidRDefault="004508AE" w:rsidP="004508AE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17" w:type="dxa"/>
            <w:hideMark/>
          </w:tcPr>
          <w:p w:rsidR="004508AE" w:rsidRPr="004508AE" w:rsidRDefault="004508AE" w:rsidP="004508AE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07" w:type="dxa"/>
            <w:noWrap/>
            <w:hideMark/>
          </w:tcPr>
          <w:p w:rsidR="004508AE" w:rsidRPr="004508AE" w:rsidRDefault="004508AE" w:rsidP="004508AE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15/14</w:t>
            </w:r>
          </w:p>
        </w:tc>
        <w:tc>
          <w:tcPr>
            <w:tcW w:w="1029" w:type="dxa"/>
            <w:noWrap/>
            <w:hideMark/>
          </w:tcPr>
          <w:p w:rsidR="004508AE" w:rsidRPr="004508AE" w:rsidRDefault="004508AE" w:rsidP="004508AE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15-out</w:t>
            </w:r>
          </w:p>
        </w:tc>
      </w:tr>
      <w:tr w:rsidR="004508AE" w:rsidRPr="004508AE" w:rsidTr="004508AE">
        <w:trPr>
          <w:trHeight w:val="255"/>
        </w:trPr>
        <w:tc>
          <w:tcPr>
            <w:cnfStyle w:val="001000000000"/>
            <w:tcW w:w="2793" w:type="dxa"/>
            <w:hideMark/>
          </w:tcPr>
          <w:p w:rsidR="004508AE" w:rsidRPr="004508AE" w:rsidRDefault="004508AE" w:rsidP="004508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17" w:type="dxa"/>
            <w:hideMark/>
          </w:tcPr>
          <w:p w:rsidR="004508AE" w:rsidRPr="004508AE" w:rsidRDefault="004508AE" w:rsidP="004508AE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865,4</w:t>
            </w:r>
          </w:p>
        </w:tc>
        <w:tc>
          <w:tcPr>
            <w:tcW w:w="1117" w:type="dxa"/>
            <w:hideMark/>
          </w:tcPr>
          <w:p w:rsidR="004508AE" w:rsidRPr="004508AE" w:rsidRDefault="004508AE" w:rsidP="004508AE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779,5</w:t>
            </w:r>
          </w:p>
        </w:tc>
        <w:tc>
          <w:tcPr>
            <w:tcW w:w="1117" w:type="dxa"/>
            <w:hideMark/>
          </w:tcPr>
          <w:p w:rsidR="004508AE" w:rsidRPr="004508AE" w:rsidRDefault="004508AE" w:rsidP="004508AE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800,2</w:t>
            </w:r>
          </w:p>
        </w:tc>
        <w:tc>
          <w:tcPr>
            <w:tcW w:w="907" w:type="dxa"/>
            <w:noWrap/>
            <w:hideMark/>
          </w:tcPr>
          <w:p w:rsidR="004508AE" w:rsidRPr="004508AE" w:rsidRDefault="004508AE" w:rsidP="004508AE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20,70</w:t>
            </w:r>
          </w:p>
        </w:tc>
        <w:tc>
          <w:tcPr>
            <w:tcW w:w="1029" w:type="dxa"/>
            <w:noWrap/>
            <w:hideMark/>
          </w:tcPr>
          <w:p w:rsidR="004508AE" w:rsidRPr="004508AE" w:rsidRDefault="004508AE" w:rsidP="004508AE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-65,20</w:t>
            </w:r>
          </w:p>
        </w:tc>
      </w:tr>
      <w:tr w:rsidR="004508AE" w:rsidRPr="004508AE" w:rsidTr="004508AE">
        <w:trPr>
          <w:cnfStyle w:val="000000100000"/>
          <w:trHeight w:val="255"/>
        </w:trPr>
        <w:tc>
          <w:tcPr>
            <w:cnfStyle w:val="001000000000"/>
            <w:tcW w:w="2793" w:type="dxa"/>
            <w:hideMark/>
          </w:tcPr>
          <w:p w:rsidR="004508AE" w:rsidRPr="004508AE" w:rsidRDefault="004508AE" w:rsidP="004508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Contrato indefinido</w:t>
            </w:r>
          </w:p>
        </w:tc>
        <w:tc>
          <w:tcPr>
            <w:tcW w:w="1117" w:type="dxa"/>
            <w:hideMark/>
          </w:tcPr>
          <w:p w:rsidR="004508AE" w:rsidRPr="004508AE" w:rsidRDefault="004508AE" w:rsidP="004508AE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649,4</w:t>
            </w:r>
          </w:p>
        </w:tc>
        <w:tc>
          <w:tcPr>
            <w:tcW w:w="1117" w:type="dxa"/>
            <w:hideMark/>
          </w:tcPr>
          <w:p w:rsidR="004508AE" w:rsidRPr="004508AE" w:rsidRDefault="004508AE" w:rsidP="004508AE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596,6</w:t>
            </w:r>
          </w:p>
        </w:tc>
        <w:tc>
          <w:tcPr>
            <w:tcW w:w="1117" w:type="dxa"/>
            <w:hideMark/>
          </w:tcPr>
          <w:p w:rsidR="004508AE" w:rsidRPr="004508AE" w:rsidRDefault="004508AE" w:rsidP="004508AE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596,7</w:t>
            </w:r>
          </w:p>
        </w:tc>
        <w:tc>
          <w:tcPr>
            <w:tcW w:w="907" w:type="dxa"/>
            <w:noWrap/>
            <w:hideMark/>
          </w:tcPr>
          <w:p w:rsidR="004508AE" w:rsidRPr="004508AE" w:rsidRDefault="004508AE" w:rsidP="004508AE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1029" w:type="dxa"/>
            <w:noWrap/>
            <w:hideMark/>
          </w:tcPr>
          <w:p w:rsidR="004508AE" w:rsidRPr="004508AE" w:rsidRDefault="004508AE" w:rsidP="004508AE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-52,70</w:t>
            </w:r>
          </w:p>
        </w:tc>
      </w:tr>
      <w:tr w:rsidR="004508AE" w:rsidRPr="004508AE" w:rsidTr="004508AE">
        <w:trPr>
          <w:trHeight w:val="255"/>
        </w:trPr>
        <w:tc>
          <w:tcPr>
            <w:cnfStyle w:val="001000000000"/>
            <w:tcW w:w="2793" w:type="dxa"/>
            <w:tcBorders>
              <w:bottom w:val="single" w:sz="4" w:space="0" w:color="auto"/>
            </w:tcBorders>
            <w:hideMark/>
          </w:tcPr>
          <w:p w:rsidR="004508AE" w:rsidRPr="004508AE" w:rsidRDefault="004508AE" w:rsidP="004508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Contrato temporal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hideMark/>
          </w:tcPr>
          <w:p w:rsidR="004508AE" w:rsidRPr="004508AE" w:rsidRDefault="004508AE" w:rsidP="004508AE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hideMark/>
          </w:tcPr>
          <w:p w:rsidR="004508AE" w:rsidRPr="004508AE" w:rsidRDefault="004508AE" w:rsidP="004508AE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182,9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hideMark/>
          </w:tcPr>
          <w:p w:rsidR="004508AE" w:rsidRPr="004508AE" w:rsidRDefault="004508AE" w:rsidP="004508AE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203,5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hideMark/>
          </w:tcPr>
          <w:p w:rsidR="004508AE" w:rsidRPr="004508AE" w:rsidRDefault="004508AE" w:rsidP="004508AE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20,60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hideMark/>
          </w:tcPr>
          <w:p w:rsidR="004508AE" w:rsidRPr="004508AE" w:rsidRDefault="004508AE" w:rsidP="004508AE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-12,50</w:t>
            </w:r>
          </w:p>
        </w:tc>
      </w:tr>
      <w:tr w:rsidR="004508AE" w:rsidRPr="004508AE" w:rsidTr="004508AE">
        <w:trPr>
          <w:cnfStyle w:val="000000100000"/>
          <w:trHeight w:val="255"/>
        </w:trPr>
        <w:tc>
          <w:tcPr>
            <w:cnfStyle w:val="001000000000"/>
            <w:tcW w:w="2793" w:type="dxa"/>
            <w:tcBorders>
              <w:top w:val="single" w:sz="4" w:space="0" w:color="auto"/>
            </w:tcBorders>
            <w:hideMark/>
          </w:tcPr>
          <w:p w:rsidR="004508AE" w:rsidRPr="004508AE" w:rsidRDefault="004508AE" w:rsidP="004508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Taxa de temporalidade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:rsidR="004508AE" w:rsidRPr="004508AE" w:rsidRDefault="004508AE" w:rsidP="004508AE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:rsidR="004508AE" w:rsidRPr="004508AE" w:rsidRDefault="004508AE" w:rsidP="004508AE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:rsidR="004508AE" w:rsidRPr="004508AE" w:rsidRDefault="004508AE" w:rsidP="004508AE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4508AE">
              <w:rPr>
                <w:rFonts w:ascii="Arial" w:eastAsia="Times New Roman" w:hAnsi="Arial" w:cs="Arial"/>
                <w:sz w:val="20"/>
                <w:szCs w:val="20"/>
              </w:rPr>
              <w:t>25,4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:rsidR="004508AE" w:rsidRPr="004508AE" w:rsidRDefault="004508AE" w:rsidP="004508AE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:rsidR="004508AE" w:rsidRPr="004508AE" w:rsidRDefault="004508AE" w:rsidP="004508AE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508AE" w:rsidRDefault="004508AE" w:rsidP="00450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4508AE" w:rsidRDefault="005D1990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inestabilidade do emprego agudizouse fortemente neste período</w:t>
      </w:r>
      <w:r w:rsidR="002B7C10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maioría dos postos de traballo que se perderon fo</w:t>
      </w:r>
      <w:r w:rsidR="002B7C1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de traballadores e traballadoras que </w:t>
      </w:r>
      <w:r>
        <w:rPr>
          <w:rFonts w:ascii="Arial" w:hAnsi="Arial" w:cs="Arial"/>
          <w:sz w:val="24"/>
          <w:szCs w:val="24"/>
        </w:rPr>
        <w:lastRenderedPageBreak/>
        <w:t>pos</w:t>
      </w:r>
      <w:r w:rsidR="002B7C10">
        <w:rPr>
          <w:rFonts w:ascii="Arial" w:hAnsi="Arial" w:cs="Arial"/>
          <w:sz w:val="24"/>
          <w:szCs w:val="24"/>
        </w:rPr>
        <w:t>uí</w:t>
      </w:r>
      <w:r>
        <w:rPr>
          <w:rFonts w:ascii="Arial" w:hAnsi="Arial" w:cs="Arial"/>
          <w:sz w:val="24"/>
          <w:szCs w:val="24"/>
        </w:rPr>
        <w:t>an un contrato indefinido; e no último ano, que aumento</w:t>
      </w:r>
      <w:r w:rsidR="002B7C1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emprego asalariado, </w:t>
      </w:r>
      <w:r w:rsidR="002B7C10">
        <w:rPr>
          <w:rFonts w:ascii="Arial" w:hAnsi="Arial" w:cs="Arial"/>
          <w:sz w:val="24"/>
          <w:szCs w:val="24"/>
        </w:rPr>
        <w:t>este incremento foi</w:t>
      </w:r>
      <w:r>
        <w:rPr>
          <w:rFonts w:ascii="Arial" w:hAnsi="Arial" w:cs="Arial"/>
          <w:sz w:val="24"/>
          <w:szCs w:val="24"/>
        </w:rPr>
        <w:t xml:space="preserve"> unicamente </w:t>
      </w:r>
      <w:r w:rsidR="002B7C10">
        <w:rPr>
          <w:rFonts w:ascii="Arial" w:hAnsi="Arial" w:cs="Arial"/>
          <w:sz w:val="24"/>
          <w:szCs w:val="24"/>
        </w:rPr>
        <w:t xml:space="preserve">no emprego </w:t>
      </w:r>
      <w:r>
        <w:rPr>
          <w:rFonts w:ascii="Arial" w:hAnsi="Arial" w:cs="Arial"/>
          <w:sz w:val="24"/>
          <w:szCs w:val="24"/>
        </w:rPr>
        <w:t>de carácter temporal.</w:t>
      </w:r>
    </w:p>
    <w:p w:rsidR="005D1990" w:rsidRDefault="005D1990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taxa de temporalidade sitúase no 25,4%.</w:t>
      </w:r>
    </w:p>
    <w:p w:rsidR="005D1990" w:rsidRPr="005D1990" w:rsidRDefault="005D1990" w:rsidP="00FD358B">
      <w:pPr>
        <w:pStyle w:val="Prrafodelista"/>
        <w:rPr>
          <w:rFonts w:ascii="Arial" w:hAnsi="Arial" w:cs="Arial"/>
          <w:sz w:val="24"/>
          <w:szCs w:val="24"/>
        </w:rPr>
      </w:pPr>
    </w:p>
    <w:p w:rsidR="00932C15" w:rsidRDefault="00C4362E" w:rsidP="00C4362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4362E">
        <w:rPr>
          <w:rFonts w:ascii="Arial" w:hAnsi="Arial" w:cs="Arial"/>
          <w:b/>
          <w:sz w:val="28"/>
          <w:szCs w:val="28"/>
        </w:rPr>
        <w:t xml:space="preserve">Os </w:t>
      </w:r>
      <w:r w:rsidR="00990382">
        <w:rPr>
          <w:rFonts w:ascii="Arial" w:hAnsi="Arial" w:cs="Arial"/>
          <w:b/>
          <w:sz w:val="28"/>
          <w:szCs w:val="28"/>
        </w:rPr>
        <w:t>traballadores e traballadoras</w:t>
      </w:r>
      <w:r w:rsidR="00E0776D">
        <w:rPr>
          <w:rFonts w:ascii="Arial" w:hAnsi="Arial" w:cs="Arial"/>
          <w:b/>
          <w:sz w:val="28"/>
          <w:szCs w:val="28"/>
        </w:rPr>
        <w:t xml:space="preserve"> </w:t>
      </w:r>
      <w:r w:rsidRPr="00C4362E">
        <w:rPr>
          <w:rFonts w:ascii="Arial" w:hAnsi="Arial" w:cs="Arial"/>
          <w:b/>
          <w:sz w:val="28"/>
          <w:szCs w:val="28"/>
        </w:rPr>
        <w:t>con xornada parcial representan o 14,3% do total</w:t>
      </w:r>
      <w:r w:rsidR="00990382">
        <w:rPr>
          <w:rFonts w:ascii="Arial" w:hAnsi="Arial" w:cs="Arial"/>
          <w:sz w:val="24"/>
          <w:szCs w:val="24"/>
        </w:rPr>
        <w:t xml:space="preserve"> </w:t>
      </w:r>
      <w:r w:rsidR="00990382" w:rsidRPr="00990382">
        <w:rPr>
          <w:rFonts w:ascii="Arial" w:hAnsi="Arial" w:cs="Arial"/>
          <w:b/>
          <w:sz w:val="28"/>
          <w:szCs w:val="28"/>
        </w:rPr>
        <w:t>no ano 2015</w:t>
      </w:r>
      <w:r w:rsidR="00990382">
        <w:rPr>
          <w:rFonts w:ascii="Arial" w:hAnsi="Arial" w:cs="Arial"/>
          <w:sz w:val="24"/>
          <w:szCs w:val="24"/>
        </w:rPr>
        <w:t>.</w:t>
      </w:r>
    </w:p>
    <w:p w:rsidR="00C4362E" w:rsidRPr="00C4362E" w:rsidRDefault="00C4362E" w:rsidP="00C4362E">
      <w:pPr>
        <w:pStyle w:val="Prrafodelista"/>
        <w:rPr>
          <w:rFonts w:ascii="Arial" w:hAnsi="Arial" w:cs="Arial"/>
          <w:sz w:val="24"/>
          <w:szCs w:val="24"/>
        </w:rPr>
      </w:pPr>
    </w:p>
    <w:p w:rsidR="00932C15" w:rsidRDefault="00932C15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Asalariados/as segundo tipo de xornada.</w:t>
      </w:r>
    </w:p>
    <w:tbl>
      <w:tblPr>
        <w:tblStyle w:val="Sombreadomedio2-nfasis11"/>
        <w:tblW w:w="7600" w:type="dxa"/>
        <w:tblLook w:val="04A0"/>
      </w:tblPr>
      <w:tblGrid>
        <w:gridCol w:w="2726"/>
        <w:gridCol w:w="995"/>
        <w:gridCol w:w="948"/>
        <w:gridCol w:w="995"/>
        <w:gridCol w:w="822"/>
        <w:gridCol w:w="1114"/>
      </w:tblGrid>
      <w:tr w:rsidR="00932C15" w:rsidRPr="00932C15" w:rsidTr="00932C15">
        <w:trPr>
          <w:cnfStyle w:val="100000000000"/>
          <w:trHeight w:val="255"/>
        </w:trPr>
        <w:tc>
          <w:tcPr>
            <w:cnfStyle w:val="001000000100"/>
            <w:tcW w:w="2726" w:type="dxa"/>
            <w:hideMark/>
          </w:tcPr>
          <w:p w:rsidR="00932C15" w:rsidRPr="00932C15" w:rsidRDefault="00932C15" w:rsidP="00932C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hideMark/>
          </w:tcPr>
          <w:p w:rsidR="00932C15" w:rsidRPr="00932C15" w:rsidRDefault="00932C15" w:rsidP="00932C15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936" w:type="dxa"/>
            <w:gridSpan w:val="2"/>
            <w:noWrap/>
            <w:hideMark/>
          </w:tcPr>
          <w:p w:rsidR="00932C15" w:rsidRPr="00932C15" w:rsidRDefault="00932C15" w:rsidP="00932C15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 xml:space="preserve">Variación </w:t>
            </w:r>
          </w:p>
        </w:tc>
      </w:tr>
      <w:tr w:rsidR="00932C15" w:rsidRPr="00932C15" w:rsidTr="00932C15">
        <w:trPr>
          <w:cnfStyle w:val="000000100000"/>
          <w:trHeight w:val="255"/>
        </w:trPr>
        <w:tc>
          <w:tcPr>
            <w:cnfStyle w:val="001000000000"/>
            <w:tcW w:w="2726" w:type="dxa"/>
            <w:hideMark/>
          </w:tcPr>
          <w:p w:rsidR="00932C15" w:rsidRPr="00932C15" w:rsidRDefault="00932C15" w:rsidP="00932C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932C15" w:rsidRPr="00932C15" w:rsidRDefault="00932C15" w:rsidP="00932C1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48" w:type="dxa"/>
            <w:hideMark/>
          </w:tcPr>
          <w:p w:rsidR="00932C15" w:rsidRPr="00932C15" w:rsidRDefault="00932C15" w:rsidP="00932C1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5" w:type="dxa"/>
            <w:hideMark/>
          </w:tcPr>
          <w:p w:rsidR="00932C15" w:rsidRPr="00932C15" w:rsidRDefault="00932C15" w:rsidP="00932C1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22" w:type="dxa"/>
            <w:noWrap/>
            <w:hideMark/>
          </w:tcPr>
          <w:p w:rsidR="00932C15" w:rsidRPr="00932C15" w:rsidRDefault="00932C15" w:rsidP="00932C15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15/14</w:t>
            </w:r>
          </w:p>
        </w:tc>
        <w:tc>
          <w:tcPr>
            <w:tcW w:w="1114" w:type="dxa"/>
            <w:noWrap/>
            <w:hideMark/>
          </w:tcPr>
          <w:p w:rsidR="00932C15" w:rsidRPr="00932C15" w:rsidRDefault="00932C15" w:rsidP="004508AE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4508AE">
              <w:rPr>
                <w:rFonts w:ascii="Arial" w:eastAsia="Times New Roman" w:hAnsi="Arial" w:cs="Arial"/>
                <w:sz w:val="20"/>
                <w:szCs w:val="20"/>
              </w:rPr>
              <w:t>/10</w:t>
            </w:r>
          </w:p>
        </w:tc>
      </w:tr>
      <w:tr w:rsidR="00932C15" w:rsidRPr="00932C15" w:rsidTr="00932C15">
        <w:trPr>
          <w:trHeight w:val="255"/>
        </w:trPr>
        <w:tc>
          <w:tcPr>
            <w:cnfStyle w:val="001000000000"/>
            <w:tcW w:w="2726" w:type="dxa"/>
            <w:hideMark/>
          </w:tcPr>
          <w:p w:rsidR="00932C15" w:rsidRPr="00932C15" w:rsidRDefault="00932C15" w:rsidP="00932C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95" w:type="dxa"/>
            <w:hideMark/>
          </w:tcPr>
          <w:p w:rsidR="00932C15" w:rsidRPr="00932C15" w:rsidRDefault="00932C15" w:rsidP="00932C15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1.104,50</w:t>
            </w:r>
          </w:p>
        </w:tc>
        <w:tc>
          <w:tcPr>
            <w:tcW w:w="948" w:type="dxa"/>
            <w:hideMark/>
          </w:tcPr>
          <w:p w:rsidR="00932C15" w:rsidRPr="00932C15" w:rsidRDefault="00932C15" w:rsidP="00932C15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995" w:type="dxa"/>
            <w:hideMark/>
          </w:tcPr>
          <w:p w:rsidR="00932C15" w:rsidRPr="00932C15" w:rsidRDefault="00932C15" w:rsidP="00932C15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1.017,20</w:t>
            </w:r>
          </w:p>
        </w:tc>
        <w:tc>
          <w:tcPr>
            <w:tcW w:w="822" w:type="dxa"/>
            <w:noWrap/>
            <w:hideMark/>
          </w:tcPr>
          <w:p w:rsidR="00932C15" w:rsidRPr="00932C15" w:rsidRDefault="00932C15" w:rsidP="00932C15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19,20</w:t>
            </w:r>
          </w:p>
        </w:tc>
        <w:tc>
          <w:tcPr>
            <w:tcW w:w="1114" w:type="dxa"/>
            <w:noWrap/>
            <w:hideMark/>
          </w:tcPr>
          <w:p w:rsidR="00932C15" w:rsidRPr="00932C15" w:rsidRDefault="00932C15" w:rsidP="00932C15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-87,30</w:t>
            </w:r>
          </w:p>
        </w:tc>
      </w:tr>
      <w:tr w:rsidR="00932C15" w:rsidRPr="00932C15" w:rsidTr="00932C15">
        <w:trPr>
          <w:cnfStyle w:val="000000100000"/>
          <w:trHeight w:val="255"/>
        </w:trPr>
        <w:tc>
          <w:tcPr>
            <w:cnfStyle w:val="001000000000"/>
            <w:tcW w:w="2726" w:type="dxa"/>
            <w:hideMark/>
          </w:tcPr>
          <w:p w:rsidR="00932C15" w:rsidRPr="00932C15" w:rsidRDefault="00932C15" w:rsidP="00932C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Completa</w:t>
            </w:r>
          </w:p>
        </w:tc>
        <w:tc>
          <w:tcPr>
            <w:tcW w:w="995" w:type="dxa"/>
            <w:hideMark/>
          </w:tcPr>
          <w:p w:rsidR="00932C15" w:rsidRPr="00932C15" w:rsidRDefault="00932C15" w:rsidP="00932C15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977,5</w:t>
            </w:r>
          </w:p>
        </w:tc>
        <w:tc>
          <w:tcPr>
            <w:tcW w:w="948" w:type="dxa"/>
            <w:hideMark/>
          </w:tcPr>
          <w:p w:rsidR="00932C15" w:rsidRPr="00932C15" w:rsidRDefault="00932C15" w:rsidP="00932C15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855,8</w:t>
            </w:r>
          </w:p>
        </w:tc>
        <w:tc>
          <w:tcPr>
            <w:tcW w:w="995" w:type="dxa"/>
            <w:hideMark/>
          </w:tcPr>
          <w:p w:rsidR="00932C15" w:rsidRPr="00932C15" w:rsidRDefault="00932C15" w:rsidP="00932C15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871,3</w:t>
            </w:r>
          </w:p>
        </w:tc>
        <w:tc>
          <w:tcPr>
            <w:tcW w:w="822" w:type="dxa"/>
            <w:noWrap/>
            <w:hideMark/>
          </w:tcPr>
          <w:p w:rsidR="00932C15" w:rsidRPr="00932C15" w:rsidRDefault="00932C15" w:rsidP="00932C15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15,50</w:t>
            </w:r>
          </w:p>
        </w:tc>
        <w:tc>
          <w:tcPr>
            <w:tcW w:w="1114" w:type="dxa"/>
            <w:noWrap/>
            <w:hideMark/>
          </w:tcPr>
          <w:p w:rsidR="00932C15" w:rsidRPr="00932C15" w:rsidRDefault="00932C15" w:rsidP="00932C15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-106,20</w:t>
            </w:r>
          </w:p>
        </w:tc>
      </w:tr>
      <w:tr w:rsidR="00932C15" w:rsidRPr="00932C15" w:rsidTr="00932C15">
        <w:trPr>
          <w:trHeight w:val="255"/>
        </w:trPr>
        <w:tc>
          <w:tcPr>
            <w:cnfStyle w:val="001000000000"/>
            <w:tcW w:w="2726" w:type="dxa"/>
            <w:hideMark/>
          </w:tcPr>
          <w:p w:rsidR="00932C15" w:rsidRPr="00932C15" w:rsidRDefault="00932C15" w:rsidP="00932C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Parcial</w:t>
            </w:r>
          </w:p>
        </w:tc>
        <w:tc>
          <w:tcPr>
            <w:tcW w:w="995" w:type="dxa"/>
            <w:hideMark/>
          </w:tcPr>
          <w:p w:rsidR="00932C15" w:rsidRPr="00932C15" w:rsidRDefault="00932C15" w:rsidP="00932C15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948" w:type="dxa"/>
            <w:hideMark/>
          </w:tcPr>
          <w:p w:rsidR="00932C15" w:rsidRPr="00932C15" w:rsidRDefault="00932C15" w:rsidP="00932C15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142,2</w:t>
            </w:r>
          </w:p>
        </w:tc>
        <w:tc>
          <w:tcPr>
            <w:tcW w:w="995" w:type="dxa"/>
            <w:hideMark/>
          </w:tcPr>
          <w:p w:rsidR="00932C15" w:rsidRPr="00932C15" w:rsidRDefault="00932C15" w:rsidP="00932C15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145,9</w:t>
            </w:r>
          </w:p>
        </w:tc>
        <w:tc>
          <w:tcPr>
            <w:tcW w:w="822" w:type="dxa"/>
            <w:noWrap/>
            <w:hideMark/>
          </w:tcPr>
          <w:p w:rsidR="00932C15" w:rsidRPr="00932C15" w:rsidRDefault="00932C15" w:rsidP="00932C15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3,70</w:t>
            </w:r>
          </w:p>
        </w:tc>
        <w:tc>
          <w:tcPr>
            <w:tcW w:w="1114" w:type="dxa"/>
            <w:noWrap/>
            <w:hideMark/>
          </w:tcPr>
          <w:p w:rsidR="00932C15" w:rsidRPr="00932C15" w:rsidRDefault="00932C15" w:rsidP="00932C15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932C15">
              <w:rPr>
                <w:rFonts w:ascii="Arial" w:eastAsia="Times New Roman" w:hAnsi="Arial" w:cs="Arial"/>
                <w:sz w:val="20"/>
                <w:szCs w:val="20"/>
              </w:rPr>
              <w:t>18,90</w:t>
            </w:r>
          </w:p>
        </w:tc>
      </w:tr>
    </w:tbl>
    <w:p w:rsidR="00932C15" w:rsidRDefault="00932C15" w:rsidP="00932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68121F" w:rsidRDefault="0068121F" w:rsidP="005F10A7">
      <w:pPr>
        <w:rPr>
          <w:rFonts w:ascii="Arial" w:hAnsi="Arial" w:cs="Arial"/>
          <w:sz w:val="24"/>
          <w:szCs w:val="24"/>
        </w:rPr>
      </w:pPr>
    </w:p>
    <w:p w:rsidR="0068121F" w:rsidRDefault="000477B1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Aínda que no último ano se recuperou </w:t>
      </w:r>
      <w:r w:rsidR="00E4317E">
        <w:rPr>
          <w:rFonts w:ascii="Arial" w:hAnsi="Arial" w:cs="Arial"/>
          <w:sz w:val="24"/>
          <w:szCs w:val="24"/>
        </w:rPr>
        <w:t>lixeiramente o emprego a xornada completa, se o comparamos co ano 2010</w:t>
      </w:r>
      <w:r w:rsidR="002B7C10">
        <w:rPr>
          <w:rFonts w:ascii="Arial" w:hAnsi="Arial" w:cs="Arial"/>
          <w:sz w:val="24"/>
          <w:szCs w:val="24"/>
        </w:rPr>
        <w:t>, produciuse un forte descenso. C</w:t>
      </w:r>
      <w:r w:rsidR="00E4317E">
        <w:rPr>
          <w:rFonts w:ascii="Arial" w:hAnsi="Arial" w:cs="Arial"/>
          <w:sz w:val="24"/>
          <w:szCs w:val="24"/>
        </w:rPr>
        <w:t>oncretamente</w:t>
      </w:r>
      <w:r w:rsidR="002B7C10">
        <w:rPr>
          <w:rFonts w:ascii="Arial" w:hAnsi="Arial" w:cs="Arial"/>
          <w:sz w:val="24"/>
          <w:szCs w:val="24"/>
        </w:rPr>
        <w:t>,</w:t>
      </w:r>
      <w:r w:rsidR="00E4317E">
        <w:rPr>
          <w:rFonts w:ascii="Arial" w:hAnsi="Arial" w:cs="Arial"/>
          <w:sz w:val="24"/>
          <w:szCs w:val="24"/>
        </w:rPr>
        <w:t xml:space="preserve"> estíma</w:t>
      </w:r>
      <w:r w:rsidR="002B7C10">
        <w:rPr>
          <w:rFonts w:ascii="Arial" w:hAnsi="Arial" w:cs="Arial"/>
          <w:sz w:val="24"/>
          <w:szCs w:val="24"/>
        </w:rPr>
        <w:t>n</w:t>
      </w:r>
      <w:r w:rsidR="00E4317E">
        <w:rPr>
          <w:rFonts w:ascii="Arial" w:hAnsi="Arial" w:cs="Arial"/>
          <w:sz w:val="24"/>
          <w:szCs w:val="24"/>
        </w:rPr>
        <w:t xml:space="preserve">se </w:t>
      </w:r>
      <w:r w:rsidR="002B7C10">
        <w:rPr>
          <w:rFonts w:ascii="Arial" w:hAnsi="Arial" w:cs="Arial"/>
          <w:sz w:val="24"/>
          <w:szCs w:val="24"/>
        </w:rPr>
        <w:t xml:space="preserve">uns </w:t>
      </w:r>
      <w:r w:rsidR="00E4317E">
        <w:rPr>
          <w:rFonts w:ascii="Arial" w:hAnsi="Arial" w:cs="Arial"/>
          <w:sz w:val="24"/>
          <w:szCs w:val="24"/>
        </w:rPr>
        <w:t xml:space="preserve">106.200 </w:t>
      </w:r>
      <w:r w:rsidR="004508AE">
        <w:rPr>
          <w:rFonts w:ascii="Arial" w:hAnsi="Arial" w:cs="Arial"/>
          <w:sz w:val="24"/>
          <w:szCs w:val="24"/>
        </w:rPr>
        <w:t>empregados</w:t>
      </w:r>
      <w:r w:rsidR="002B7C10">
        <w:rPr>
          <w:rFonts w:ascii="Arial" w:hAnsi="Arial" w:cs="Arial"/>
          <w:sz w:val="24"/>
          <w:szCs w:val="24"/>
        </w:rPr>
        <w:t>/as</w:t>
      </w:r>
      <w:r w:rsidR="004508AE">
        <w:rPr>
          <w:rFonts w:ascii="Arial" w:hAnsi="Arial" w:cs="Arial"/>
          <w:sz w:val="24"/>
          <w:szCs w:val="24"/>
        </w:rPr>
        <w:t xml:space="preserve"> </w:t>
      </w:r>
      <w:r w:rsidR="00E4317E">
        <w:rPr>
          <w:rFonts w:ascii="Arial" w:hAnsi="Arial" w:cs="Arial"/>
          <w:sz w:val="24"/>
          <w:szCs w:val="24"/>
        </w:rPr>
        <w:t>menos a xornada completa e 18.900 máis a xornada parcial.</w:t>
      </w:r>
    </w:p>
    <w:p w:rsidR="00E4317E" w:rsidRDefault="004508AE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incremento da xornada parcial débese no 68% dos casos a falta de atopar un emprego a xornada completa</w:t>
      </w:r>
      <w:r w:rsidR="002B7C10">
        <w:rPr>
          <w:rFonts w:ascii="Arial" w:hAnsi="Arial" w:cs="Arial"/>
          <w:sz w:val="24"/>
          <w:szCs w:val="24"/>
        </w:rPr>
        <w:t>. N</w:t>
      </w:r>
      <w:r>
        <w:rPr>
          <w:rFonts w:ascii="Arial" w:hAnsi="Arial" w:cs="Arial"/>
          <w:sz w:val="24"/>
          <w:szCs w:val="24"/>
        </w:rPr>
        <w:t>o ano 2010</w:t>
      </w:r>
      <w:r w:rsidR="002B7C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alegaban este motivo o 49%.</w:t>
      </w:r>
    </w:p>
    <w:p w:rsidR="00F75F9E" w:rsidRDefault="00F75F9E" w:rsidP="005F10A7">
      <w:pPr>
        <w:rPr>
          <w:rFonts w:ascii="Arial" w:hAnsi="Arial" w:cs="Arial"/>
          <w:sz w:val="24"/>
          <w:szCs w:val="24"/>
        </w:rPr>
      </w:pPr>
    </w:p>
    <w:p w:rsidR="00FD358B" w:rsidRDefault="00FD358B" w:rsidP="00FD358B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D358B">
        <w:rPr>
          <w:rFonts w:ascii="Arial" w:hAnsi="Arial" w:cs="Arial"/>
          <w:b/>
          <w:sz w:val="28"/>
          <w:szCs w:val="28"/>
        </w:rPr>
        <w:t>En 2015, o maior medre da ocupación produciuse na provincia d</w:t>
      </w:r>
      <w:r w:rsidR="002B7C10">
        <w:rPr>
          <w:rFonts w:ascii="Arial" w:hAnsi="Arial" w:cs="Arial"/>
          <w:b/>
          <w:sz w:val="28"/>
          <w:szCs w:val="28"/>
        </w:rPr>
        <w:t>a</w:t>
      </w:r>
      <w:r w:rsidRPr="00FD358B">
        <w:rPr>
          <w:rFonts w:ascii="Arial" w:hAnsi="Arial" w:cs="Arial"/>
          <w:b/>
          <w:sz w:val="28"/>
          <w:szCs w:val="28"/>
        </w:rPr>
        <w:t xml:space="preserve"> Coruña</w:t>
      </w:r>
      <w:r>
        <w:rPr>
          <w:rFonts w:ascii="Arial" w:hAnsi="Arial" w:cs="Arial"/>
          <w:sz w:val="24"/>
          <w:szCs w:val="24"/>
        </w:rPr>
        <w:t>.</w:t>
      </w:r>
    </w:p>
    <w:p w:rsidR="00FD358B" w:rsidRPr="00FD358B" w:rsidRDefault="00FD358B" w:rsidP="00FD358B">
      <w:pPr>
        <w:pStyle w:val="Prrafodelista"/>
        <w:rPr>
          <w:rFonts w:ascii="Arial" w:hAnsi="Arial" w:cs="Arial"/>
          <w:sz w:val="24"/>
          <w:szCs w:val="24"/>
        </w:rPr>
      </w:pPr>
    </w:p>
    <w:p w:rsidR="00FD358B" w:rsidRDefault="00FD358B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Ocupados</w:t>
      </w:r>
      <w:r w:rsidR="002B7C10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por provincias. Datos en miles.</w:t>
      </w:r>
    </w:p>
    <w:tbl>
      <w:tblPr>
        <w:tblStyle w:val="Sombreadomedio2-nfasis11"/>
        <w:tblW w:w="8080" w:type="dxa"/>
        <w:tblLook w:val="04A0"/>
      </w:tblPr>
      <w:tblGrid>
        <w:gridCol w:w="2791"/>
        <w:gridCol w:w="1118"/>
        <w:gridCol w:w="1117"/>
        <w:gridCol w:w="1118"/>
        <w:gridCol w:w="907"/>
        <w:gridCol w:w="1029"/>
      </w:tblGrid>
      <w:tr w:rsidR="00FD358B" w:rsidRPr="00FD358B" w:rsidTr="00FD358B">
        <w:trPr>
          <w:cnfStyle w:val="100000000000"/>
          <w:trHeight w:val="255"/>
        </w:trPr>
        <w:tc>
          <w:tcPr>
            <w:cnfStyle w:val="001000000100"/>
            <w:tcW w:w="2791" w:type="dxa"/>
            <w:hideMark/>
          </w:tcPr>
          <w:p w:rsidR="00FD358B" w:rsidRPr="00FD358B" w:rsidRDefault="00FD358B" w:rsidP="00FD35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hideMark/>
          </w:tcPr>
          <w:p w:rsidR="00FD358B" w:rsidRPr="00FD358B" w:rsidRDefault="00FD358B" w:rsidP="00FD358B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936" w:type="dxa"/>
            <w:gridSpan w:val="2"/>
            <w:noWrap/>
            <w:hideMark/>
          </w:tcPr>
          <w:p w:rsidR="00FD358B" w:rsidRPr="00FD358B" w:rsidRDefault="00FD358B" w:rsidP="00FD358B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 xml:space="preserve">Variación </w:t>
            </w:r>
          </w:p>
        </w:tc>
      </w:tr>
      <w:tr w:rsidR="00FD358B" w:rsidRPr="00FD358B" w:rsidTr="00FD358B">
        <w:trPr>
          <w:cnfStyle w:val="000000100000"/>
          <w:trHeight w:val="255"/>
        </w:trPr>
        <w:tc>
          <w:tcPr>
            <w:cnfStyle w:val="001000000000"/>
            <w:tcW w:w="2791" w:type="dxa"/>
            <w:hideMark/>
          </w:tcPr>
          <w:p w:rsidR="00FD358B" w:rsidRPr="00FD358B" w:rsidRDefault="00FD358B" w:rsidP="00FD35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17" w:type="dxa"/>
            <w:hideMark/>
          </w:tcPr>
          <w:p w:rsidR="00FD358B" w:rsidRPr="00FD358B" w:rsidRDefault="00FD358B" w:rsidP="00FD358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07" w:type="dxa"/>
            <w:noWrap/>
            <w:hideMark/>
          </w:tcPr>
          <w:p w:rsidR="00FD358B" w:rsidRPr="00FD358B" w:rsidRDefault="00FD358B" w:rsidP="00FD358B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15/14</w:t>
            </w:r>
          </w:p>
        </w:tc>
        <w:tc>
          <w:tcPr>
            <w:tcW w:w="1029" w:type="dxa"/>
            <w:noWrap/>
            <w:hideMark/>
          </w:tcPr>
          <w:p w:rsidR="00FD358B" w:rsidRPr="00FD358B" w:rsidRDefault="00FD358B" w:rsidP="00FD358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15-out</w:t>
            </w:r>
          </w:p>
        </w:tc>
      </w:tr>
      <w:tr w:rsidR="00FD358B" w:rsidRPr="00FD358B" w:rsidTr="00FD358B">
        <w:trPr>
          <w:trHeight w:val="255"/>
        </w:trPr>
        <w:tc>
          <w:tcPr>
            <w:cnfStyle w:val="001000000000"/>
            <w:tcW w:w="2791" w:type="dxa"/>
            <w:hideMark/>
          </w:tcPr>
          <w:p w:rsidR="00FD358B" w:rsidRPr="00FD358B" w:rsidRDefault="00FD358B" w:rsidP="00FD35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E0776D">
              <w:rPr>
                <w:rFonts w:ascii="Arial" w:eastAsia="Times New Roman" w:hAnsi="Arial" w:cs="Arial"/>
                <w:sz w:val="20"/>
                <w:szCs w:val="20"/>
              </w:rPr>
              <w:t>aliza</w:t>
            </w: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1.104,50</w:t>
            </w:r>
          </w:p>
        </w:tc>
        <w:tc>
          <w:tcPr>
            <w:tcW w:w="1117" w:type="dxa"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1.017,20</w:t>
            </w:r>
          </w:p>
        </w:tc>
        <w:tc>
          <w:tcPr>
            <w:tcW w:w="907" w:type="dxa"/>
            <w:noWrap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19,20</w:t>
            </w:r>
          </w:p>
        </w:tc>
        <w:tc>
          <w:tcPr>
            <w:tcW w:w="1029" w:type="dxa"/>
            <w:noWrap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-87,30</w:t>
            </w:r>
          </w:p>
        </w:tc>
      </w:tr>
      <w:tr w:rsidR="00FD358B" w:rsidRPr="00FD358B" w:rsidTr="00FD358B">
        <w:trPr>
          <w:cnfStyle w:val="000000100000"/>
          <w:trHeight w:val="255"/>
        </w:trPr>
        <w:tc>
          <w:tcPr>
            <w:cnfStyle w:val="001000000000"/>
            <w:tcW w:w="2791" w:type="dxa"/>
            <w:hideMark/>
          </w:tcPr>
          <w:p w:rsidR="00FD358B" w:rsidRPr="00FD358B" w:rsidRDefault="00E0776D" w:rsidP="00FD35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358B" w:rsidRPr="00FD358B">
              <w:rPr>
                <w:rFonts w:ascii="Arial" w:eastAsia="Times New Roman" w:hAnsi="Arial" w:cs="Arial"/>
                <w:sz w:val="20"/>
                <w:szCs w:val="20"/>
              </w:rPr>
              <w:t> A Coruña</w:t>
            </w: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468,7</w:t>
            </w:r>
          </w:p>
        </w:tc>
        <w:tc>
          <w:tcPr>
            <w:tcW w:w="1117" w:type="dxa"/>
            <w:hideMark/>
          </w:tcPr>
          <w:p w:rsidR="00FD358B" w:rsidRPr="00FD358B" w:rsidRDefault="00FD358B" w:rsidP="00FD358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430,9</w:t>
            </w: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439,9</w:t>
            </w:r>
          </w:p>
        </w:tc>
        <w:tc>
          <w:tcPr>
            <w:tcW w:w="907" w:type="dxa"/>
            <w:noWrap/>
            <w:hideMark/>
          </w:tcPr>
          <w:p w:rsidR="00FD358B" w:rsidRPr="00FD358B" w:rsidRDefault="00FD358B" w:rsidP="00FD358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  <w:tc>
          <w:tcPr>
            <w:tcW w:w="1029" w:type="dxa"/>
            <w:noWrap/>
            <w:hideMark/>
          </w:tcPr>
          <w:p w:rsidR="00FD358B" w:rsidRPr="00FD358B" w:rsidRDefault="00FD358B" w:rsidP="00FD358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-28,80</w:t>
            </w:r>
          </w:p>
        </w:tc>
      </w:tr>
      <w:tr w:rsidR="00FD358B" w:rsidRPr="00FD358B" w:rsidTr="00FD358B">
        <w:trPr>
          <w:trHeight w:val="255"/>
        </w:trPr>
        <w:tc>
          <w:tcPr>
            <w:cnfStyle w:val="001000000000"/>
            <w:tcW w:w="2791" w:type="dxa"/>
            <w:hideMark/>
          </w:tcPr>
          <w:p w:rsidR="00FD358B" w:rsidRPr="00FD358B" w:rsidRDefault="00E0776D" w:rsidP="00FD35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358B" w:rsidRPr="00FD358B">
              <w:rPr>
                <w:rFonts w:ascii="Arial" w:eastAsia="Times New Roman" w:hAnsi="Arial" w:cs="Arial"/>
                <w:sz w:val="20"/>
                <w:szCs w:val="20"/>
              </w:rPr>
              <w:t> Lugo</w:t>
            </w: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143,6</w:t>
            </w:r>
          </w:p>
        </w:tc>
        <w:tc>
          <w:tcPr>
            <w:tcW w:w="1117" w:type="dxa"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125,4</w:t>
            </w: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130,2</w:t>
            </w:r>
          </w:p>
        </w:tc>
        <w:tc>
          <w:tcPr>
            <w:tcW w:w="907" w:type="dxa"/>
            <w:noWrap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4,80</w:t>
            </w:r>
          </w:p>
        </w:tc>
        <w:tc>
          <w:tcPr>
            <w:tcW w:w="1029" w:type="dxa"/>
            <w:noWrap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-13,40</w:t>
            </w:r>
          </w:p>
        </w:tc>
      </w:tr>
      <w:tr w:rsidR="00FD358B" w:rsidRPr="00FD358B" w:rsidTr="00FD358B">
        <w:trPr>
          <w:cnfStyle w:val="000000100000"/>
          <w:trHeight w:val="255"/>
        </w:trPr>
        <w:tc>
          <w:tcPr>
            <w:cnfStyle w:val="001000000000"/>
            <w:tcW w:w="2791" w:type="dxa"/>
            <w:hideMark/>
          </w:tcPr>
          <w:p w:rsidR="00FD358B" w:rsidRPr="00FD358B" w:rsidRDefault="00E0776D" w:rsidP="00FD35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358B" w:rsidRPr="00FD358B">
              <w:rPr>
                <w:rFonts w:ascii="Arial" w:eastAsia="Times New Roman" w:hAnsi="Arial" w:cs="Arial"/>
                <w:sz w:val="20"/>
                <w:szCs w:val="20"/>
              </w:rPr>
              <w:t> Ourense</w:t>
            </w: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119,3</w:t>
            </w:r>
          </w:p>
        </w:tc>
        <w:tc>
          <w:tcPr>
            <w:tcW w:w="1117" w:type="dxa"/>
            <w:hideMark/>
          </w:tcPr>
          <w:p w:rsidR="00FD358B" w:rsidRPr="00FD358B" w:rsidRDefault="00FD358B" w:rsidP="00FD358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104,9</w:t>
            </w: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106,2</w:t>
            </w:r>
          </w:p>
        </w:tc>
        <w:tc>
          <w:tcPr>
            <w:tcW w:w="907" w:type="dxa"/>
            <w:noWrap/>
            <w:hideMark/>
          </w:tcPr>
          <w:p w:rsidR="00FD358B" w:rsidRPr="00FD358B" w:rsidRDefault="00FD358B" w:rsidP="00FD358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1,30</w:t>
            </w:r>
          </w:p>
        </w:tc>
        <w:tc>
          <w:tcPr>
            <w:tcW w:w="1029" w:type="dxa"/>
            <w:noWrap/>
            <w:hideMark/>
          </w:tcPr>
          <w:p w:rsidR="00FD358B" w:rsidRPr="00FD358B" w:rsidRDefault="00FD358B" w:rsidP="00FD358B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-13,10</w:t>
            </w:r>
          </w:p>
        </w:tc>
      </w:tr>
      <w:tr w:rsidR="00FD358B" w:rsidRPr="00FD358B" w:rsidTr="00FD358B">
        <w:trPr>
          <w:trHeight w:val="255"/>
        </w:trPr>
        <w:tc>
          <w:tcPr>
            <w:cnfStyle w:val="001000000000"/>
            <w:tcW w:w="2791" w:type="dxa"/>
            <w:hideMark/>
          </w:tcPr>
          <w:p w:rsidR="00FD358B" w:rsidRPr="00FD358B" w:rsidRDefault="00E0776D" w:rsidP="00FD35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358B" w:rsidRPr="00FD358B">
              <w:rPr>
                <w:rFonts w:ascii="Arial" w:eastAsia="Times New Roman" w:hAnsi="Arial" w:cs="Arial"/>
                <w:sz w:val="20"/>
                <w:szCs w:val="20"/>
              </w:rPr>
              <w:t> Pontevedra</w:t>
            </w: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372,9</w:t>
            </w:r>
          </w:p>
        </w:tc>
        <w:tc>
          <w:tcPr>
            <w:tcW w:w="1117" w:type="dxa"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336,8</w:t>
            </w:r>
          </w:p>
        </w:tc>
        <w:tc>
          <w:tcPr>
            <w:tcW w:w="1118" w:type="dxa"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907" w:type="dxa"/>
            <w:noWrap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4,20</w:t>
            </w:r>
          </w:p>
        </w:tc>
        <w:tc>
          <w:tcPr>
            <w:tcW w:w="1029" w:type="dxa"/>
            <w:noWrap/>
            <w:hideMark/>
          </w:tcPr>
          <w:p w:rsidR="00FD358B" w:rsidRPr="00FD358B" w:rsidRDefault="00FD358B" w:rsidP="00FD358B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D358B">
              <w:rPr>
                <w:rFonts w:ascii="Arial" w:eastAsia="Times New Roman" w:hAnsi="Arial" w:cs="Arial"/>
                <w:sz w:val="20"/>
                <w:szCs w:val="20"/>
              </w:rPr>
              <w:t>-31,90</w:t>
            </w:r>
          </w:p>
        </w:tc>
      </w:tr>
    </w:tbl>
    <w:p w:rsidR="00FD358B" w:rsidRDefault="00FD358B" w:rsidP="00FD3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Fonte: EPA.INE</w:t>
      </w:r>
    </w:p>
    <w:p w:rsidR="00F75F9E" w:rsidRDefault="00F75F9E" w:rsidP="005F10A7">
      <w:pPr>
        <w:rPr>
          <w:rFonts w:ascii="Arial" w:hAnsi="Arial" w:cs="Arial"/>
          <w:sz w:val="24"/>
          <w:szCs w:val="24"/>
        </w:rPr>
      </w:pPr>
    </w:p>
    <w:p w:rsidR="00E4317E" w:rsidRDefault="00ED5C22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Aínda que en </w:t>
      </w:r>
      <w:r w:rsidR="002B7C10">
        <w:rPr>
          <w:rFonts w:ascii="Arial" w:hAnsi="Arial" w:cs="Arial"/>
          <w:sz w:val="24"/>
          <w:szCs w:val="24"/>
        </w:rPr>
        <w:t>todas as</w:t>
      </w:r>
      <w:r>
        <w:rPr>
          <w:rFonts w:ascii="Arial" w:hAnsi="Arial" w:cs="Arial"/>
          <w:sz w:val="24"/>
          <w:szCs w:val="24"/>
        </w:rPr>
        <w:t xml:space="preserve"> provincias medrou o emprego durante 2015, </w:t>
      </w:r>
      <w:r w:rsidR="0000460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provincia da Coruña</w:t>
      </w:r>
      <w:r w:rsidR="00004602">
        <w:rPr>
          <w:rFonts w:ascii="Arial" w:hAnsi="Arial" w:cs="Arial"/>
          <w:sz w:val="24"/>
          <w:szCs w:val="24"/>
        </w:rPr>
        <w:t xml:space="preserve"> foi onde se estimou </w:t>
      </w:r>
      <w:r w:rsidR="007B589B">
        <w:rPr>
          <w:rFonts w:ascii="Arial" w:hAnsi="Arial" w:cs="Arial"/>
          <w:sz w:val="24"/>
          <w:szCs w:val="24"/>
        </w:rPr>
        <w:t>un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004602">
        <w:rPr>
          <w:rFonts w:ascii="Arial" w:hAnsi="Arial" w:cs="Arial"/>
          <w:sz w:val="24"/>
          <w:szCs w:val="24"/>
        </w:rPr>
        <w:t>crecemento maior</w:t>
      </w:r>
      <w:r w:rsidR="007B589B">
        <w:rPr>
          <w:rFonts w:ascii="Arial" w:hAnsi="Arial" w:cs="Arial"/>
          <w:sz w:val="24"/>
          <w:szCs w:val="24"/>
        </w:rPr>
        <w:t>, 9.000 ocupados/as máis que no ano 2014.</w:t>
      </w:r>
    </w:p>
    <w:p w:rsidR="00C644BD" w:rsidRDefault="00C644BD" w:rsidP="005F10A7">
      <w:pPr>
        <w:rPr>
          <w:rFonts w:ascii="Arial" w:hAnsi="Arial" w:cs="Arial"/>
          <w:sz w:val="24"/>
          <w:szCs w:val="24"/>
        </w:rPr>
      </w:pPr>
    </w:p>
    <w:p w:rsidR="007B589B" w:rsidRPr="00C644BD" w:rsidRDefault="00C644BD" w:rsidP="00C644BD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C644BD">
        <w:rPr>
          <w:rFonts w:ascii="Arial" w:hAnsi="Arial" w:cs="Arial"/>
          <w:b/>
          <w:sz w:val="28"/>
          <w:szCs w:val="28"/>
        </w:rPr>
        <w:t>A maioría dos novos postos de traballo foron ocupados por homes.</w:t>
      </w:r>
    </w:p>
    <w:p w:rsidR="00C644BD" w:rsidRDefault="00C644BD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Ocupados</w:t>
      </w:r>
      <w:r w:rsidR="00047AB7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segundo sexo. Datos en miles.</w:t>
      </w:r>
    </w:p>
    <w:tbl>
      <w:tblPr>
        <w:tblStyle w:val="Sombreadomedio2-nfasis11"/>
        <w:tblW w:w="8080" w:type="dxa"/>
        <w:tblLook w:val="04A0"/>
      </w:tblPr>
      <w:tblGrid>
        <w:gridCol w:w="2672"/>
        <w:gridCol w:w="1110"/>
        <w:gridCol w:w="1095"/>
        <w:gridCol w:w="1110"/>
        <w:gridCol w:w="1117"/>
        <w:gridCol w:w="976"/>
      </w:tblGrid>
      <w:tr w:rsidR="00C644BD" w:rsidRPr="00C644BD" w:rsidTr="00C644BD">
        <w:trPr>
          <w:cnfStyle w:val="100000000000"/>
          <w:trHeight w:val="255"/>
        </w:trPr>
        <w:tc>
          <w:tcPr>
            <w:cnfStyle w:val="001000000100"/>
            <w:tcW w:w="2779" w:type="dxa"/>
            <w:hideMark/>
          </w:tcPr>
          <w:p w:rsidR="00C644BD" w:rsidRPr="00C644BD" w:rsidRDefault="00C644BD" w:rsidP="00C644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:rsidR="00C644BD" w:rsidRPr="00C644BD" w:rsidRDefault="00C644BD" w:rsidP="00C644B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1115" w:type="dxa"/>
            <w:hideMark/>
          </w:tcPr>
          <w:p w:rsidR="00C644BD" w:rsidRPr="00C644BD" w:rsidRDefault="00C644BD" w:rsidP="00C644B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hideMark/>
          </w:tcPr>
          <w:p w:rsidR="00C644BD" w:rsidRPr="00C644BD" w:rsidRDefault="00C644BD" w:rsidP="00C644B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:rsidR="00C644BD" w:rsidRPr="00C644BD" w:rsidRDefault="00C644BD" w:rsidP="00C644B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Variación</w:t>
            </w:r>
          </w:p>
        </w:tc>
        <w:tc>
          <w:tcPr>
            <w:tcW w:w="976" w:type="dxa"/>
            <w:noWrap/>
            <w:hideMark/>
          </w:tcPr>
          <w:p w:rsidR="00C644BD" w:rsidRPr="00C644BD" w:rsidRDefault="00C644BD" w:rsidP="00C644B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44BD" w:rsidRPr="00C644BD" w:rsidTr="00C644BD">
        <w:trPr>
          <w:cnfStyle w:val="000000100000"/>
          <w:trHeight w:val="255"/>
        </w:trPr>
        <w:tc>
          <w:tcPr>
            <w:cnfStyle w:val="001000000000"/>
            <w:tcW w:w="2779" w:type="dxa"/>
            <w:hideMark/>
          </w:tcPr>
          <w:p w:rsidR="00C644BD" w:rsidRPr="00C644BD" w:rsidRDefault="00C644BD" w:rsidP="00C644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:rsidR="00C644BD" w:rsidRPr="00C644BD" w:rsidRDefault="00C644BD" w:rsidP="00C644BD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E0776D">
              <w:rPr>
                <w:rFonts w:ascii="Arial" w:eastAsia="Times New Roman" w:hAnsi="Arial" w:cs="Arial"/>
                <w:sz w:val="20"/>
                <w:szCs w:val="20"/>
              </w:rPr>
              <w:t>aliza</w:t>
            </w:r>
          </w:p>
        </w:tc>
        <w:tc>
          <w:tcPr>
            <w:tcW w:w="1115" w:type="dxa"/>
            <w:hideMark/>
          </w:tcPr>
          <w:p w:rsidR="00C644BD" w:rsidRPr="00C644BD" w:rsidRDefault="00C644BD" w:rsidP="00C644BD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E0776D">
              <w:rPr>
                <w:rFonts w:ascii="Arial" w:eastAsia="Times New Roman" w:hAnsi="Arial" w:cs="Arial"/>
                <w:sz w:val="20"/>
                <w:szCs w:val="20"/>
              </w:rPr>
              <w:t>aliza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hideMark/>
          </w:tcPr>
          <w:p w:rsidR="00C644BD" w:rsidRPr="00C644BD" w:rsidRDefault="00C644BD" w:rsidP="00C644BD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E0776D">
              <w:rPr>
                <w:rFonts w:ascii="Arial" w:eastAsia="Times New Roman" w:hAnsi="Arial" w:cs="Arial"/>
                <w:sz w:val="20"/>
                <w:szCs w:val="20"/>
              </w:rPr>
              <w:t>aliza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:rsidR="00C644BD" w:rsidRPr="00C644BD" w:rsidRDefault="00C644BD" w:rsidP="00C644BD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15/14</w:t>
            </w:r>
          </w:p>
        </w:tc>
        <w:tc>
          <w:tcPr>
            <w:tcW w:w="976" w:type="dxa"/>
            <w:noWrap/>
            <w:hideMark/>
          </w:tcPr>
          <w:p w:rsidR="00C644BD" w:rsidRPr="00C644BD" w:rsidRDefault="00C644BD" w:rsidP="00C644BD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15/10</w:t>
            </w:r>
          </w:p>
        </w:tc>
      </w:tr>
      <w:tr w:rsidR="00C644BD" w:rsidRPr="00C644BD" w:rsidTr="00C644BD">
        <w:trPr>
          <w:trHeight w:val="255"/>
        </w:trPr>
        <w:tc>
          <w:tcPr>
            <w:cnfStyle w:val="001000000000"/>
            <w:tcW w:w="2779" w:type="dxa"/>
            <w:hideMark/>
          </w:tcPr>
          <w:p w:rsidR="00C644BD" w:rsidRPr="00C644BD" w:rsidRDefault="00C644BD" w:rsidP="00C644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17" w:type="dxa"/>
            <w:hideMark/>
          </w:tcPr>
          <w:p w:rsidR="00C644BD" w:rsidRPr="00C644BD" w:rsidRDefault="00C644BD" w:rsidP="00C644B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1.104,50</w:t>
            </w:r>
          </w:p>
        </w:tc>
        <w:tc>
          <w:tcPr>
            <w:tcW w:w="1115" w:type="dxa"/>
            <w:hideMark/>
          </w:tcPr>
          <w:p w:rsidR="00C644BD" w:rsidRPr="00C644BD" w:rsidRDefault="00C644BD" w:rsidP="00C644B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hideMark/>
          </w:tcPr>
          <w:p w:rsidR="00C644BD" w:rsidRPr="00C644BD" w:rsidRDefault="00C644BD" w:rsidP="00C644B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1.017,20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:rsidR="00C644BD" w:rsidRPr="00C644BD" w:rsidRDefault="00C644BD" w:rsidP="00C644B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19,20</w:t>
            </w:r>
          </w:p>
        </w:tc>
        <w:tc>
          <w:tcPr>
            <w:tcW w:w="976" w:type="dxa"/>
            <w:noWrap/>
            <w:hideMark/>
          </w:tcPr>
          <w:p w:rsidR="00C644BD" w:rsidRPr="00C644BD" w:rsidRDefault="00C644BD" w:rsidP="00C644B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-87,30</w:t>
            </w:r>
          </w:p>
        </w:tc>
      </w:tr>
      <w:tr w:rsidR="00C644BD" w:rsidRPr="00C644BD" w:rsidTr="00C644BD">
        <w:trPr>
          <w:cnfStyle w:val="000000100000"/>
          <w:trHeight w:val="255"/>
        </w:trPr>
        <w:tc>
          <w:tcPr>
            <w:cnfStyle w:val="001000000000"/>
            <w:tcW w:w="2779" w:type="dxa"/>
            <w:hideMark/>
          </w:tcPr>
          <w:p w:rsidR="00C644BD" w:rsidRPr="00C644BD" w:rsidRDefault="00C644BD" w:rsidP="00C644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Homes</w:t>
            </w:r>
          </w:p>
        </w:tc>
        <w:tc>
          <w:tcPr>
            <w:tcW w:w="1117" w:type="dxa"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602,7</w:t>
            </w:r>
          </w:p>
        </w:tc>
        <w:tc>
          <w:tcPr>
            <w:tcW w:w="1115" w:type="dxa"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524,3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538,2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noWrap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13,90</w:t>
            </w:r>
          </w:p>
        </w:tc>
        <w:tc>
          <w:tcPr>
            <w:tcW w:w="976" w:type="dxa"/>
            <w:noWrap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-64,50</w:t>
            </w:r>
          </w:p>
        </w:tc>
      </w:tr>
      <w:tr w:rsidR="00C644BD" w:rsidRPr="00C644BD" w:rsidTr="00C644BD">
        <w:trPr>
          <w:trHeight w:val="255"/>
        </w:trPr>
        <w:tc>
          <w:tcPr>
            <w:cnfStyle w:val="001000000000"/>
            <w:tcW w:w="2779" w:type="dxa"/>
            <w:hideMark/>
          </w:tcPr>
          <w:p w:rsidR="00C644BD" w:rsidRPr="00C644BD" w:rsidRDefault="00C644BD" w:rsidP="00C644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Mulleres</w:t>
            </w:r>
          </w:p>
        </w:tc>
        <w:tc>
          <w:tcPr>
            <w:tcW w:w="1117" w:type="dxa"/>
            <w:hideMark/>
          </w:tcPr>
          <w:p w:rsidR="00C644BD" w:rsidRPr="00C644BD" w:rsidRDefault="00C644BD" w:rsidP="00C644B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501,8</w:t>
            </w:r>
          </w:p>
        </w:tc>
        <w:tc>
          <w:tcPr>
            <w:tcW w:w="1115" w:type="dxa"/>
            <w:hideMark/>
          </w:tcPr>
          <w:p w:rsidR="00C644BD" w:rsidRPr="00C644BD" w:rsidRDefault="00C644BD" w:rsidP="00C644B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473,7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hideMark/>
          </w:tcPr>
          <w:p w:rsidR="00C644BD" w:rsidRPr="00C644BD" w:rsidRDefault="00C644BD" w:rsidP="00C644B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18" w:space="0" w:color="auto"/>
            </w:tcBorders>
            <w:noWrap/>
            <w:hideMark/>
          </w:tcPr>
          <w:p w:rsidR="00C644BD" w:rsidRPr="00C644BD" w:rsidRDefault="00C644BD" w:rsidP="00C644B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5,30</w:t>
            </w:r>
          </w:p>
        </w:tc>
        <w:tc>
          <w:tcPr>
            <w:tcW w:w="976" w:type="dxa"/>
            <w:noWrap/>
            <w:hideMark/>
          </w:tcPr>
          <w:p w:rsidR="00C644BD" w:rsidRPr="00C644BD" w:rsidRDefault="00C644BD" w:rsidP="00C644BD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-22,80</w:t>
            </w:r>
          </w:p>
        </w:tc>
      </w:tr>
    </w:tbl>
    <w:p w:rsidR="00C644BD" w:rsidRDefault="00C644BD" w:rsidP="00C64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C644BD" w:rsidRDefault="00C644BD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tomamos como referencia o ano 2010, a maioría do emprego destruído era ocupado por varóns, concretamente o 73,8%.</w:t>
      </w:r>
    </w:p>
    <w:p w:rsidR="00C644BD" w:rsidRDefault="00C644BD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ano 2015, o 73% do recuperado foi cuberto por homes.</w:t>
      </w:r>
    </w:p>
    <w:p w:rsidR="00C644BD" w:rsidRDefault="00C644BD" w:rsidP="005F10A7">
      <w:pPr>
        <w:rPr>
          <w:rFonts w:ascii="Arial" w:hAnsi="Arial" w:cs="Arial"/>
          <w:sz w:val="24"/>
          <w:szCs w:val="24"/>
        </w:rPr>
      </w:pPr>
    </w:p>
    <w:p w:rsidR="007B589B" w:rsidRDefault="007B589B" w:rsidP="005F10A7">
      <w:pPr>
        <w:rPr>
          <w:rFonts w:ascii="Arial" w:hAnsi="Arial" w:cs="Arial"/>
          <w:b/>
          <w:sz w:val="36"/>
          <w:szCs w:val="36"/>
        </w:rPr>
      </w:pPr>
      <w:r w:rsidRPr="007B589B">
        <w:rPr>
          <w:rFonts w:ascii="Arial" w:hAnsi="Arial" w:cs="Arial"/>
          <w:b/>
          <w:sz w:val="36"/>
          <w:szCs w:val="36"/>
        </w:rPr>
        <w:t>Poboación parada.</w:t>
      </w:r>
    </w:p>
    <w:p w:rsidR="00C644BD" w:rsidRPr="00C644BD" w:rsidRDefault="00C644BD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Poboación parada. Datos en miles.</w:t>
      </w:r>
    </w:p>
    <w:tbl>
      <w:tblPr>
        <w:tblStyle w:val="Sombreadomedio2-nfasis11"/>
        <w:tblW w:w="8640" w:type="dxa"/>
        <w:tblLook w:val="04A0"/>
      </w:tblPr>
      <w:tblGrid>
        <w:gridCol w:w="1240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C644BD" w:rsidRPr="00C644BD" w:rsidTr="00C644BD">
        <w:trPr>
          <w:cnfStyle w:val="100000000000"/>
          <w:trHeight w:val="255"/>
        </w:trPr>
        <w:tc>
          <w:tcPr>
            <w:cnfStyle w:val="001000000100"/>
            <w:tcW w:w="1240" w:type="dxa"/>
            <w:noWrap/>
            <w:hideMark/>
          </w:tcPr>
          <w:p w:rsidR="00C644BD" w:rsidRPr="00C644BD" w:rsidRDefault="00C644BD" w:rsidP="00C644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right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C644BD" w:rsidRPr="00C644BD" w:rsidTr="00C644BD">
        <w:trPr>
          <w:cnfStyle w:val="000000100000"/>
          <w:trHeight w:val="510"/>
        </w:trPr>
        <w:tc>
          <w:tcPr>
            <w:cnfStyle w:val="001000000000"/>
            <w:tcW w:w="1240" w:type="dxa"/>
            <w:hideMark/>
          </w:tcPr>
          <w:p w:rsidR="00C644BD" w:rsidRPr="00C644BD" w:rsidRDefault="00C644BD" w:rsidP="00C644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Poboación parada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114,7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165,9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227,2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270,5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284,6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275,8</w:t>
            </w:r>
          </w:p>
        </w:tc>
        <w:tc>
          <w:tcPr>
            <w:tcW w:w="925" w:type="dxa"/>
            <w:hideMark/>
          </w:tcPr>
          <w:p w:rsidR="00C644BD" w:rsidRPr="00C644BD" w:rsidRDefault="00C644BD" w:rsidP="00C644BD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644BD">
              <w:rPr>
                <w:rFonts w:ascii="Arial" w:eastAsia="Times New Roman" w:hAnsi="Arial" w:cs="Arial"/>
                <w:sz w:val="20"/>
                <w:szCs w:val="20"/>
              </w:rPr>
              <w:t>243,4</w:t>
            </w:r>
          </w:p>
        </w:tc>
      </w:tr>
    </w:tbl>
    <w:p w:rsidR="00C90691" w:rsidRDefault="00C90691" w:rsidP="005F10A7">
      <w:pPr>
        <w:rPr>
          <w:rFonts w:ascii="Arial" w:hAnsi="Arial" w:cs="Arial"/>
          <w:sz w:val="24"/>
          <w:szCs w:val="24"/>
        </w:rPr>
      </w:pPr>
    </w:p>
    <w:p w:rsidR="00C90691" w:rsidRDefault="00C644BD" w:rsidP="005F10A7">
      <w:pPr>
        <w:rPr>
          <w:rFonts w:ascii="Arial" w:hAnsi="Arial" w:cs="Arial"/>
          <w:sz w:val="24"/>
          <w:szCs w:val="24"/>
        </w:rPr>
      </w:pPr>
      <w:r w:rsidRPr="00C644BD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644BD" w:rsidRDefault="00C644BD" w:rsidP="00C64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C90691" w:rsidRDefault="00A443E4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paro medrou de forma exponencial at</w:t>
      </w:r>
      <w:r w:rsidR="00047AB7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o ano 2013, onde se acadou, de </w:t>
      </w:r>
      <w:r w:rsidR="00047AB7">
        <w:rPr>
          <w:rFonts w:ascii="Arial" w:hAnsi="Arial" w:cs="Arial"/>
          <w:sz w:val="24"/>
          <w:szCs w:val="24"/>
        </w:rPr>
        <w:t>media, os 284.600 desempregados/as. N</w:t>
      </w:r>
      <w:r>
        <w:rPr>
          <w:rFonts w:ascii="Arial" w:hAnsi="Arial" w:cs="Arial"/>
          <w:sz w:val="24"/>
          <w:szCs w:val="24"/>
        </w:rPr>
        <w:t>estes dous últimos anos</w:t>
      </w:r>
      <w:r w:rsidR="00047AB7">
        <w:rPr>
          <w:rFonts w:ascii="Arial" w:hAnsi="Arial" w:cs="Arial"/>
          <w:sz w:val="24"/>
          <w:szCs w:val="24"/>
        </w:rPr>
        <w:t xml:space="preserve"> descendeu, mais</w:t>
      </w:r>
      <w:r w:rsidR="00FB26AB">
        <w:rPr>
          <w:rFonts w:ascii="Arial" w:hAnsi="Arial" w:cs="Arial"/>
          <w:sz w:val="24"/>
          <w:szCs w:val="24"/>
        </w:rPr>
        <w:t xml:space="preserve"> esta caída ten matices</w:t>
      </w:r>
      <w:r w:rsidR="00047AB7">
        <w:rPr>
          <w:rFonts w:ascii="Arial" w:hAnsi="Arial" w:cs="Arial"/>
          <w:sz w:val="24"/>
          <w:szCs w:val="24"/>
        </w:rPr>
        <w:t>. No</w:t>
      </w:r>
      <w:r w:rsidR="00FB26AB">
        <w:rPr>
          <w:rFonts w:ascii="Arial" w:hAnsi="Arial" w:cs="Arial"/>
          <w:sz w:val="24"/>
          <w:szCs w:val="24"/>
        </w:rPr>
        <w:t>n todo o descen</w:t>
      </w:r>
      <w:r w:rsidR="00047AB7">
        <w:rPr>
          <w:rFonts w:ascii="Arial" w:hAnsi="Arial" w:cs="Arial"/>
          <w:sz w:val="24"/>
          <w:szCs w:val="24"/>
        </w:rPr>
        <w:t>s</w:t>
      </w:r>
      <w:r w:rsidR="00FB26AB">
        <w:rPr>
          <w:rFonts w:ascii="Arial" w:hAnsi="Arial" w:cs="Arial"/>
          <w:sz w:val="24"/>
          <w:szCs w:val="24"/>
        </w:rPr>
        <w:t>o do paro se converte en incremento do emprego</w:t>
      </w:r>
      <w:r w:rsidR="00EB3386">
        <w:rPr>
          <w:rFonts w:ascii="Arial" w:hAnsi="Arial" w:cs="Arial"/>
          <w:sz w:val="24"/>
          <w:szCs w:val="24"/>
        </w:rPr>
        <w:t>;</w:t>
      </w:r>
      <w:r w:rsidR="00FB26AB">
        <w:rPr>
          <w:rFonts w:ascii="Arial" w:hAnsi="Arial" w:cs="Arial"/>
          <w:sz w:val="24"/>
          <w:szCs w:val="24"/>
        </w:rPr>
        <w:t xml:space="preserve"> é máis, en 2014 descendeu o paro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FB26AB">
        <w:rPr>
          <w:rFonts w:ascii="Arial" w:hAnsi="Arial" w:cs="Arial"/>
          <w:sz w:val="24"/>
          <w:szCs w:val="24"/>
        </w:rPr>
        <w:t xml:space="preserve">e descendeu a ocupación. En 2015, o paro descendeu en 32.400 persoas, pero a poboación ocupada </w:t>
      </w:r>
      <w:r w:rsidR="00EB3386">
        <w:rPr>
          <w:rFonts w:ascii="Arial" w:hAnsi="Arial" w:cs="Arial"/>
          <w:sz w:val="24"/>
          <w:szCs w:val="24"/>
        </w:rPr>
        <w:t>apenas medrou en 19.200. Qu</w:t>
      </w:r>
      <w:r w:rsidR="00FB26AB">
        <w:rPr>
          <w:rFonts w:ascii="Arial" w:hAnsi="Arial" w:cs="Arial"/>
          <w:sz w:val="24"/>
          <w:szCs w:val="24"/>
        </w:rPr>
        <w:t xml:space="preserve">ere </w:t>
      </w:r>
      <w:r w:rsidR="00EB3386">
        <w:rPr>
          <w:rFonts w:ascii="Arial" w:hAnsi="Arial" w:cs="Arial"/>
          <w:sz w:val="24"/>
          <w:szCs w:val="24"/>
        </w:rPr>
        <w:t>isto</w:t>
      </w:r>
      <w:r w:rsidR="00FB26AB">
        <w:rPr>
          <w:rFonts w:ascii="Arial" w:hAnsi="Arial" w:cs="Arial"/>
          <w:sz w:val="24"/>
          <w:szCs w:val="24"/>
        </w:rPr>
        <w:t xml:space="preserve"> dicir que unha parte importante deste descenso</w:t>
      </w:r>
      <w:r w:rsidR="00EB3386">
        <w:rPr>
          <w:rFonts w:ascii="Arial" w:hAnsi="Arial" w:cs="Arial"/>
          <w:sz w:val="24"/>
          <w:szCs w:val="24"/>
        </w:rPr>
        <w:t xml:space="preserve"> é debido á</w:t>
      </w:r>
      <w:r w:rsidR="00FB26AB">
        <w:rPr>
          <w:rFonts w:ascii="Arial" w:hAnsi="Arial" w:cs="Arial"/>
          <w:sz w:val="24"/>
          <w:szCs w:val="24"/>
        </w:rPr>
        <w:t xml:space="preserve"> caída da poboación activa, ben sexa pola emigración, por envellecemento</w:t>
      </w:r>
      <w:r w:rsidR="00EB3386">
        <w:rPr>
          <w:rFonts w:ascii="Arial" w:hAnsi="Arial" w:cs="Arial"/>
          <w:sz w:val="24"/>
          <w:szCs w:val="24"/>
        </w:rPr>
        <w:t>, etc. O</w:t>
      </w:r>
      <w:r w:rsidR="00FB26AB">
        <w:rPr>
          <w:rFonts w:ascii="Arial" w:hAnsi="Arial" w:cs="Arial"/>
          <w:sz w:val="24"/>
          <w:szCs w:val="24"/>
        </w:rPr>
        <w:t xml:space="preserve"> certo é que a poboación activa</w:t>
      </w:r>
      <w:r w:rsidR="00E0776D">
        <w:rPr>
          <w:rFonts w:ascii="Arial" w:hAnsi="Arial" w:cs="Arial"/>
          <w:sz w:val="24"/>
          <w:szCs w:val="24"/>
        </w:rPr>
        <w:t xml:space="preserve"> </w:t>
      </w:r>
      <w:r w:rsidR="00FB26AB">
        <w:rPr>
          <w:rFonts w:ascii="Arial" w:hAnsi="Arial" w:cs="Arial"/>
          <w:sz w:val="24"/>
          <w:szCs w:val="24"/>
        </w:rPr>
        <w:t>mingua e con ela parte da poboación parada; pero non pola recuperación do mercado de traballo.</w:t>
      </w:r>
    </w:p>
    <w:p w:rsidR="00FB26AB" w:rsidRDefault="00FB26AB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“macabra” combinación está reducindo a taxa de paro, sen que apenas se cree emprego.</w:t>
      </w: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601E15" w:rsidRDefault="00601E15" w:rsidP="005F10A7">
      <w:pPr>
        <w:rPr>
          <w:rFonts w:ascii="Arial" w:hAnsi="Arial" w:cs="Arial"/>
          <w:sz w:val="24"/>
          <w:szCs w:val="24"/>
        </w:rPr>
      </w:pPr>
    </w:p>
    <w:p w:rsidR="00090F40" w:rsidRPr="00090F40" w:rsidRDefault="00090F40" w:rsidP="00090F40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090F40">
        <w:rPr>
          <w:rFonts w:ascii="Arial" w:hAnsi="Arial" w:cs="Arial"/>
          <w:b/>
          <w:sz w:val="28"/>
          <w:szCs w:val="28"/>
        </w:rPr>
        <w:lastRenderedPageBreak/>
        <w:t>A taxa media de paro en 2015 situouse no 19,3%.</w:t>
      </w:r>
    </w:p>
    <w:p w:rsidR="00090F40" w:rsidRDefault="00FB26AB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0F40">
        <w:rPr>
          <w:rFonts w:ascii="Arial" w:hAnsi="Arial" w:cs="Arial"/>
          <w:sz w:val="24"/>
          <w:szCs w:val="24"/>
        </w:rPr>
        <w:t>Taxa de paro segundo grupo de idade.</w:t>
      </w:r>
    </w:p>
    <w:tbl>
      <w:tblPr>
        <w:tblStyle w:val="Sombreadomedio2-nfasis11"/>
        <w:tblW w:w="6060" w:type="dxa"/>
        <w:tblLook w:val="04A0"/>
      </w:tblPr>
      <w:tblGrid>
        <w:gridCol w:w="3180"/>
        <w:gridCol w:w="960"/>
        <w:gridCol w:w="960"/>
        <w:gridCol w:w="960"/>
      </w:tblGrid>
      <w:tr w:rsidR="00090F40" w:rsidRPr="00090F40" w:rsidTr="00090F40">
        <w:trPr>
          <w:cnfStyle w:val="100000000000"/>
          <w:trHeight w:val="255"/>
        </w:trPr>
        <w:tc>
          <w:tcPr>
            <w:cnfStyle w:val="0010000001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090F40" w:rsidRPr="00090F40" w:rsidTr="00090F40">
        <w:trPr>
          <w:cnfStyle w:val="000000100000"/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E0776D">
              <w:rPr>
                <w:rFonts w:ascii="Arial" w:eastAsia="Times New Roman" w:hAnsi="Arial" w:cs="Arial"/>
                <w:sz w:val="20"/>
                <w:szCs w:val="20"/>
              </w:rPr>
              <w:t>aliza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E0776D">
              <w:rPr>
                <w:rFonts w:ascii="Arial" w:eastAsia="Times New Roman" w:hAnsi="Arial" w:cs="Arial"/>
                <w:sz w:val="20"/>
                <w:szCs w:val="20"/>
              </w:rPr>
              <w:t>aliza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E0776D">
              <w:rPr>
                <w:rFonts w:ascii="Arial" w:eastAsia="Times New Roman" w:hAnsi="Arial" w:cs="Arial"/>
                <w:sz w:val="20"/>
                <w:szCs w:val="20"/>
              </w:rPr>
              <w:t>aliza</w:t>
            </w:r>
          </w:p>
        </w:tc>
      </w:tr>
      <w:tr w:rsidR="00090F40" w:rsidRPr="00090F40" w:rsidTr="00090F40">
        <w:trPr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15,3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21,7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19,3</w:t>
            </w:r>
          </w:p>
        </w:tc>
      </w:tr>
      <w:tr w:rsidR="00090F40" w:rsidRPr="00090F40" w:rsidTr="00090F40">
        <w:trPr>
          <w:cnfStyle w:val="000000100000"/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de 16 a 19 anos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48,5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68,1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63,7</w:t>
            </w:r>
          </w:p>
        </w:tc>
      </w:tr>
      <w:tr w:rsidR="00090F40" w:rsidRPr="00090F40" w:rsidTr="00090F40">
        <w:trPr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de 20 a 24 anos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32,5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45,7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40,6</w:t>
            </w:r>
          </w:p>
        </w:tc>
      </w:tr>
      <w:tr w:rsidR="00090F40" w:rsidRPr="00090F40" w:rsidTr="00090F40">
        <w:trPr>
          <w:cnfStyle w:val="000000100000"/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de 25 a 29 anos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21,8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31,9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</w:tr>
      <w:tr w:rsidR="00090F40" w:rsidRPr="00090F40" w:rsidTr="00090F40">
        <w:trPr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de 30 a 34 anos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16,4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21,6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090F40" w:rsidRPr="00090F40" w:rsidTr="00090F40">
        <w:trPr>
          <w:cnfStyle w:val="000000100000"/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de 35 a 39 anos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15,1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20,1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17,2</w:t>
            </w:r>
          </w:p>
        </w:tc>
      </w:tr>
      <w:tr w:rsidR="00090F40" w:rsidRPr="00090F40" w:rsidTr="00090F40">
        <w:trPr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de 40 a 44 anos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12,4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19,1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17,6</w:t>
            </w:r>
          </w:p>
        </w:tc>
      </w:tr>
      <w:tr w:rsidR="00090F40" w:rsidRPr="00090F40" w:rsidTr="00090F40">
        <w:trPr>
          <w:cnfStyle w:val="000000100000"/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de 45 a 49 anos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11,1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18,5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16,9</w:t>
            </w:r>
          </w:p>
        </w:tc>
      </w:tr>
      <w:tr w:rsidR="00090F40" w:rsidRPr="00090F40" w:rsidTr="00090F40">
        <w:trPr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de 50 a 54 anos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18,4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16,3</w:t>
            </w:r>
          </w:p>
        </w:tc>
      </w:tr>
      <w:tr w:rsidR="00090F40" w:rsidRPr="00090F40" w:rsidTr="00090F40">
        <w:trPr>
          <w:cnfStyle w:val="000000100000"/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de 55 a 59 anos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16,6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15,8</w:t>
            </w:r>
          </w:p>
        </w:tc>
      </w:tr>
      <w:tr w:rsidR="00090F40" w:rsidRPr="00090F40" w:rsidTr="00090F40">
        <w:trPr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de 60 a 64 anos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14,9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12,2</w:t>
            </w:r>
          </w:p>
        </w:tc>
      </w:tr>
      <w:tr w:rsidR="00090F40" w:rsidRPr="00090F40" w:rsidTr="00090F40">
        <w:trPr>
          <w:cnfStyle w:val="000000100000"/>
          <w:trHeight w:val="255"/>
        </w:trPr>
        <w:tc>
          <w:tcPr>
            <w:cnfStyle w:val="001000000000"/>
            <w:tcW w:w="3180" w:type="dxa"/>
            <w:hideMark/>
          </w:tcPr>
          <w:p w:rsidR="00090F40" w:rsidRPr="00090F40" w:rsidRDefault="00090F40" w:rsidP="00090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de 65 e máis anos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960" w:type="dxa"/>
            <w:hideMark/>
          </w:tcPr>
          <w:p w:rsidR="00090F40" w:rsidRPr="00090F40" w:rsidRDefault="00090F40" w:rsidP="00090F4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090F40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</w:tr>
    </w:tbl>
    <w:p w:rsidR="00090F40" w:rsidRDefault="00090F40" w:rsidP="0009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BC301D" w:rsidRDefault="00BC301D" w:rsidP="0009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Reduciuse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taxa de paro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2,5 puntos con respecto a 2014 con apenas 19.200 postos de traballo máis.</w:t>
      </w:r>
      <w:r w:rsidR="00EB3386">
        <w:rPr>
          <w:rFonts w:ascii="Arial" w:hAnsi="Arial" w:cs="Arial"/>
          <w:sz w:val="24"/>
          <w:szCs w:val="24"/>
        </w:rPr>
        <w:t xml:space="preserve"> E dado que o</w:t>
      </w:r>
      <w:r>
        <w:rPr>
          <w:rFonts w:ascii="Arial" w:hAnsi="Arial" w:cs="Arial"/>
          <w:sz w:val="24"/>
          <w:szCs w:val="24"/>
        </w:rPr>
        <w:t xml:space="preserve"> descenso afectou a practicamente </w:t>
      </w:r>
      <w:r w:rsidR="00DE1F30">
        <w:rPr>
          <w:rFonts w:ascii="Arial" w:hAnsi="Arial" w:cs="Arial"/>
          <w:sz w:val="24"/>
          <w:szCs w:val="24"/>
        </w:rPr>
        <w:t>todos os</w:t>
      </w:r>
      <w:r>
        <w:rPr>
          <w:rFonts w:ascii="Arial" w:hAnsi="Arial" w:cs="Arial"/>
          <w:sz w:val="24"/>
          <w:szCs w:val="24"/>
        </w:rPr>
        <w:t xml:space="preserve"> grupos de idade, seguen manténdose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fortes diferenzas entre uns grupos e outros.</w:t>
      </w:r>
    </w:p>
    <w:p w:rsidR="000E2B02" w:rsidRDefault="000E2B02" w:rsidP="00090F40">
      <w:pPr>
        <w:rPr>
          <w:rFonts w:ascii="Arial" w:hAnsi="Arial" w:cs="Arial"/>
          <w:sz w:val="24"/>
          <w:szCs w:val="24"/>
        </w:rPr>
      </w:pPr>
      <w:r w:rsidRPr="000E2B02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572000" cy="2743200"/>
            <wp:effectExtent l="19050" t="0" r="19050" b="0"/>
            <wp:docPr id="1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26AB" w:rsidRDefault="007F03F1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 w:rsidR="00B6638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os 35 anos de idade</w:t>
      </w:r>
      <w:r w:rsidR="00B66389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taxa de paro sitúase por </w:t>
      </w:r>
      <w:r w:rsidR="00B66389">
        <w:rPr>
          <w:rFonts w:ascii="Arial" w:hAnsi="Arial" w:cs="Arial"/>
          <w:sz w:val="24"/>
          <w:szCs w:val="24"/>
        </w:rPr>
        <w:t>riba</w:t>
      </w:r>
      <w:r>
        <w:rPr>
          <w:rFonts w:ascii="Arial" w:hAnsi="Arial" w:cs="Arial"/>
          <w:sz w:val="24"/>
          <w:szCs w:val="24"/>
        </w:rPr>
        <w:t xml:space="preserve"> da media galega; sendo máis elevada c</w:t>
      </w:r>
      <w:r w:rsidR="00B663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nto mais nova é a poboación. A partir dos 35 anos, </w:t>
      </w:r>
      <w:r w:rsidR="00B66389">
        <w:rPr>
          <w:rFonts w:ascii="Arial" w:hAnsi="Arial" w:cs="Arial"/>
          <w:sz w:val="24"/>
          <w:szCs w:val="24"/>
        </w:rPr>
        <w:t>sitú</w:t>
      </w:r>
      <w:r>
        <w:rPr>
          <w:rFonts w:ascii="Arial" w:hAnsi="Arial" w:cs="Arial"/>
          <w:sz w:val="24"/>
          <w:szCs w:val="24"/>
        </w:rPr>
        <w:t xml:space="preserve">ase por debaixo da media, e xa as diferenzas entre os grupos de idade </w:t>
      </w:r>
      <w:r w:rsidR="003B32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 moi reducidas.</w:t>
      </w:r>
    </w:p>
    <w:p w:rsidR="008A0FD1" w:rsidRPr="008A0FD1" w:rsidRDefault="008A0FD1" w:rsidP="008A0FD1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0FD1">
        <w:rPr>
          <w:rFonts w:ascii="Arial" w:hAnsi="Arial" w:cs="Arial"/>
          <w:b/>
          <w:sz w:val="28"/>
          <w:szCs w:val="28"/>
        </w:rPr>
        <w:lastRenderedPageBreak/>
        <w:t>O 43,3% dos parados/as leva máis de 2 anos nesta situación</w:t>
      </w:r>
      <w:r>
        <w:rPr>
          <w:rFonts w:ascii="Arial" w:hAnsi="Arial" w:cs="Arial"/>
          <w:sz w:val="24"/>
          <w:szCs w:val="24"/>
        </w:rPr>
        <w:t>.</w:t>
      </w:r>
    </w:p>
    <w:p w:rsidR="00C90691" w:rsidRDefault="00CB45C0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Parados</w:t>
      </w:r>
      <w:r w:rsidR="00B66389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segundo tempo a procura de emprego. Datos en miles.</w:t>
      </w:r>
    </w:p>
    <w:tbl>
      <w:tblPr>
        <w:tblStyle w:val="Sombreadomedio2-nfasis11"/>
        <w:tblW w:w="8080" w:type="dxa"/>
        <w:tblLook w:val="04A0"/>
      </w:tblPr>
      <w:tblGrid>
        <w:gridCol w:w="2790"/>
        <w:gridCol w:w="1118"/>
        <w:gridCol w:w="1118"/>
        <w:gridCol w:w="1118"/>
        <w:gridCol w:w="968"/>
        <w:gridCol w:w="968"/>
      </w:tblGrid>
      <w:tr w:rsidR="00CB45C0" w:rsidRPr="00CB45C0" w:rsidTr="00CB45C0">
        <w:trPr>
          <w:cnfStyle w:val="100000000000"/>
          <w:trHeight w:val="255"/>
        </w:trPr>
        <w:tc>
          <w:tcPr>
            <w:cnfStyle w:val="001000000100"/>
            <w:tcW w:w="2790" w:type="dxa"/>
            <w:hideMark/>
          </w:tcPr>
          <w:p w:rsidR="00CB45C0" w:rsidRPr="00CB45C0" w:rsidRDefault="00CB45C0" w:rsidP="00CB45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4" w:type="dxa"/>
            <w:gridSpan w:val="3"/>
            <w:hideMark/>
          </w:tcPr>
          <w:p w:rsidR="00CB45C0" w:rsidRPr="00CB45C0" w:rsidRDefault="00CB45C0" w:rsidP="00CB45C0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E0776D">
              <w:rPr>
                <w:rFonts w:ascii="Arial" w:eastAsia="Times New Roman" w:hAnsi="Arial" w:cs="Arial"/>
                <w:sz w:val="20"/>
                <w:szCs w:val="20"/>
              </w:rPr>
              <w:t>aliza</w:t>
            </w:r>
          </w:p>
        </w:tc>
        <w:tc>
          <w:tcPr>
            <w:tcW w:w="1936" w:type="dxa"/>
            <w:gridSpan w:val="2"/>
            <w:noWrap/>
            <w:hideMark/>
          </w:tcPr>
          <w:p w:rsidR="00CB45C0" w:rsidRPr="00CB45C0" w:rsidRDefault="00CB45C0" w:rsidP="00CB45C0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 xml:space="preserve">Variación </w:t>
            </w:r>
          </w:p>
        </w:tc>
      </w:tr>
      <w:tr w:rsidR="00CB45C0" w:rsidRPr="00CB45C0" w:rsidTr="00CB45C0">
        <w:trPr>
          <w:cnfStyle w:val="000000100000"/>
          <w:trHeight w:val="255"/>
        </w:trPr>
        <w:tc>
          <w:tcPr>
            <w:cnfStyle w:val="001000000000"/>
            <w:tcW w:w="2790" w:type="dxa"/>
            <w:hideMark/>
          </w:tcPr>
          <w:p w:rsidR="00CB45C0" w:rsidRPr="00CB45C0" w:rsidRDefault="00CB45C0" w:rsidP="00CB45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15/14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15-out</w:t>
            </w:r>
          </w:p>
        </w:tc>
      </w:tr>
      <w:tr w:rsidR="00CB45C0" w:rsidRPr="00CB45C0" w:rsidTr="00CB45C0">
        <w:trPr>
          <w:trHeight w:val="255"/>
        </w:trPr>
        <w:tc>
          <w:tcPr>
            <w:cnfStyle w:val="001000000000"/>
            <w:tcW w:w="2790" w:type="dxa"/>
            <w:hideMark/>
          </w:tcPr>
          <w:p w:rsidR="00CB45C0" w:rsidRPr="00CB45C0" w:rsidRDefault="00CB45C0" w:rsidP="00CB45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275,8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243,4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-32,40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43,50</w:t>
            </w:r>
          </w:p>
        </w:tc>
      </w:tr>
      <w:tr w:rsidR="00CB45C0" w:rsidRPr="00CB45C0" w:rsidTr="00CB45C0">
        <w:trPr>
          <w:cnfStyle w:val="000000100000"/>
          <w:trHeight w:val="255"/>
        </w:trPr>
        <w:tc>
          <w:tcPr>
            <w:cnfStyle w:val="001000000000"/>
            <w:tcW w:w="2790" w:type="dxa"/>
            <w:hideMark/>
          </w:tcPr>
          <w:p w:rsidR="00CB45C0" w:rsidRPr="00CB45C0" w:rsidRDefault="00CB45C0" w:rsidP="00CB45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Menos de 1 mes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11,4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9,3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-2,80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-2,10</w:t>
            </w:r>
          </w:p>
        </w:tc>
      </w:tr>
      <w:tr w:rsidR="00CB45C0" w:rsidRPr="00CB45C0" w:rsidTr="00CB45C0">
        <w:trPr>
          <w:trHeight w:val="255"/>
        </w:trPr>
        <w:tc>
          <w:tcPr>
            <w:cnfStyle w:val="001000000000"/>
            <w:tcW w:w="2790" w:type="dxa"/>
            <w:hideMark/>
          </w:tcPr>
          <w:p w:rsidR="00CB45C0" w:rsidRPr="00CB45C0" w:rsidRDefault="00CB45C0" w:rsidP="00CB45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De 1 a &lt; 3 meses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28,1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26,1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23,2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-2,90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-4,90</w:t>
            </w:r>
          </w:p>
        </w:tc>
      </w:tr>
      <w:tr w:rsidR="00CB45C0" w:rsidRPr="00CB45C0" w:rsidTr="00CB45C0">
        <w:trPr>
          <w:cnfStyle w:val="000000100000"/>
          <w:trHeight w:val="255"/>
        </w:trPr>
        <w:tc>
          <w:tcPr>
            <w:cnfStyle w:val="001000000000"/>
            <w:tcW w:w="2790" w:type="dxa"/>
            <w:hideMark/>
          </w:tcPr>
          <w:p w:rsidR="00CB45C0" w:rsidRPr="00CB45C0" w:rsidRDefault="00CB45C0" w:rsidP="00CB45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De 3 a &lt; 6 meses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27,8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20,8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-2,20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-7,00</w:t>
            </w:r>
          </w:p>
        </w:tc>
      </w:tr>
      <w:tr w:rsidR="00CB45C0" w:rsidRPr="00CB45C0" w:rsidTr="00CB45C0">
        <w:trPr>
          <w:trHeight w:val="255"/>
        </w:trPr>
        <w:tc>
          <w:tcPr>
            <w:cnfStyle w:val="001000000000"/>
            <w:tcW w:w="2790" w:type="dxa"/>
            <w:hideMark/>
          </w:tcPr>
          <w:p w:rsidR="00CB45C0" w:rsidRPr="00CB45C0" w:rsidRDefault="00CB45C0" w:rsidP="00CB45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De 6 meses a &lt; 1 ano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41,9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37,2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28,8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-8,40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-13,10</w:t>
            </w:r>
          </w:p>
        </w:tc>
      </w:tr>
      <w:tr w:rsidR="00CB45C0" w:rsidRPr="00CB45C0" w:rsidTr="00CB45C0">
        <w:trPr>
          <w:cnfStyle w:val="000000100000"/>
          <w:trHeight w:val="255"/>
        </w:trPr>
        <w:tc>
          <w:tcPr>
            <w:cnfStyle w:val="001000000000"/>
            <w:tcW w:w="2790" w:type="dxa"/>
            <w:hideMark/>
          </w:tcPr>
          <w:p w:rsidR="00CB45C0" w:rsidRPr="00CB45C0" w:rsidRDefault="00CB45C0" w:rsidP="00CB45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De 1 ano a &lt; 1 ano e medio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28,5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27,1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20,4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-6,70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-8,10</w:t>
            </w:r>
          </w:p>
        </w:tc>
      </w:tr>
      <w:tr w:rsidR="00CB45C0" w:rsidRPr="00CB45C0" w:rsidTr="00CB45C0">
        <w:trPr>
          <w:trHeight w:val="255"/>
        </w:trPr>
        <w:tc>
          <w:tcPr>
            <w:cnfStyle w:val="001000000000"/>
            <w:tcW w:w="2790" w:type="dxa"/>
            <w:hideMark/>
          </w:tcPr>
          <w:p w:rsidR="00CB45C0" w:rsidRPr="00CB45C0" w:rsidRDefault="00CB45C0" w:rsidP="00CB45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De 1 ano e medio a &lt; 2 anos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17,6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27,2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-5,00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4,60</w:t>
            </w:r>
          </w:p>
        </w:tc>
      </w:tr>
      <w:tr w:rsidR="00CB45C0" w:rsidRPr="00CB45C0" w:rsidTr="00CB45C0">
        <w:trPr>
          <w:cnfStyle w:val="000000100000"/>
          <w:trHeight w:val="255"/>
        </w:trPr>
        <w:tc>
          <w:tcPr>
            <w:cnfStyle w:val="001000000000"/>
            <w:tcW w:w="2790" w:type="dxa"/>
            <w:hideMark/>
          </w:tcPr>
          <w:p w:rsidR="00CB45C0" w:rsidRPr="00CB45C0" w:rsidRDefault="00CB45C0" w:rsidP="00CB45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Dous ou mais anos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35,3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109,9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105,3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-4,60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</w:tr>
      <w:tr w:rsidR="00CB45C0" w:rsidRPr="00CB45C0" w:rsidTr="00CB45C0">
        <w:trPr>
          <w:trHeight w:val="255"/>
        </w:trPr>
        <w:tc>
          <w:tcPr>
            <w:cnfStyle w:val="001000000000"/>
            <w:tcW w:w="2790" w:type="dxa"/>
            <w:hideMark/>
          </w:tcPr>
          <w:p w:rsidR="00CB45C0" w:rsidRPr="00CB45C0" w:rsidRDefault="00CB45C0" w:rsidP="00CB45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Xa atopou traballo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9,3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  <w:tc>
          <w:tcPr>
            <w:tcW w:w="1118" w:type="dxa"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13,4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0,20</w:t>
            </w:r>
          </w:p>
        </w:tc>
        <w:tc>
          <w:tcPr>
            <w:tcW w:w="968" w:type="dxa"/>
            <w:noWrap/>
            <w:hideMark/>
          </w:tcPr>
          <w:p w:rsidR="00CB45C0" w:rsidRPr="00CB45C0" w:rsidRDefault="00CB45C0" w:rsidP="00CB45C0">
            <w:pPr>
              <w:jc w:val="righ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CB45C0">
              <w:rPr>
                <w:rFonts w:ascii="Arial" w:eastAsia="Times New Roman" w:hAnsi="Arial" w:cs="Arial"/>
                <w:sz w:val="20"/>
                <w:szCs w:val="20"/>
              </w:rPr>
              <w:t>4,10</w:t>
            </w:r>
          </w:p>
        </w:tc>
      </w:tr>
    </w:tbl>
    <w:p w:rsidR="00C90691" w:rsidRPr="008C028D" w:rsidRDefault="00CB45C0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EPA.INE</w:t>
      </w:r>
    </w:p>
    <w:p w:rsidR="00EC2862" w:rsidRDefault="00E54D73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engadimos os</w:t>
      </w:r>
      <w:r w:rsidR="00BA5198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que levan máis dun ano </w:t>
      </w:r>
      <w:r w:rsidR="00E077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considéranse parad</w:t>
      </w:r>
      <w:r w:rsidR="00BA5198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de longa duración </w:t>
      </w:r>
      <w:r w:rsidR="00BA5198">
        <w:rPr>
          <w:rFonts w:ascii="Arial" w:hAnsi="Arial" w:cs="Arial"/>
          <w:sz w:val="24"/>
          <w:szCs w:val="24"/>
        </w:rPr>
        <w:t>as persoas que</w:t>
      </w:r>
      <w:r>
        <w:rPr>
          <w:rFonts w:ascii="Arial" w:hAnsi="Arial" w:cs="Arial"/>
          <w:sz w:val="24"/>
          <w:szCs w:val="24"/>
        </w:rPr>
        <w:t xml:space="preserve"> levan máis dun ano sen emprego), o 50% dos parados</w:t>
      </w:r>
      <w:r w:rsidR="00BA5198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son considerados de longa duración.</w:t>
      </w:r>
    </w:p>
    <w:p w:rsidR="00E54D73" w:rsidRDefault="00E54D73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Hai máis parados</w:t>
      </w:r>
      <w:r w:rsidR="00BA5198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hoxe de longa duración, que parados</w:t>
      </w:r>
      <w:r w:rsidR="00BA5198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había</w:t>
      </w:r>
      <w:r w:rsidR="00E0776D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inicio da crise.</w:t>
      </w:r>
    </w:p>
    <w:p w:rsidR="00E54D73" w:rsidRDefault="00E54D73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esta porcentaxe tan elevad</w:t>
      </w:r>
      <w:r w:rsidR="00BA51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</w:t>
      </w:r>
      <w:r w:rsidR="00BA5198">
        <w:rPr>
          <w:rFonts w:ascii="Arial" w:hAnsi="Arial" w:cs="Arial"/>
          <w:sz w:val="24"/>
          <w:szCs w:val="24"/>
        </w:rPr>
        <w:t xml:space="preserve">e persoas paradas </w:t>
      </w:r>
      <w:r>
        <w:rPr>
          <w:rFonts w:ascii="Arial" w:hAnsi="Arial" w:cs="Arial"/>
          <w:sz w:val="24"/>
          <w:szCs w:val="24"/>
        </w:rPr>
        <w:t>con máis de dous anos, a taxa de cobertura, ou a porcentaxe de parados</w:t>
      </w:r>
      <w:r w:rsidR="00BA5198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con dereito a prestación redúcese, especialmente </w:t>
      </w:r>
      <w:r w:rsidR="00BA5198">
        <w:rPr>
          <w:rFonts w:ascii="Arial" w:hAnsi="Arial" w:cs="Arial"/>
          <w:sz w:val="24"/>
          <w:szCs w:val="24"/>
        </w:rPr>
        <w:t xml:space="preserve">os/as que teñen dereito </w:t>
      </w:r>
      <w:r>
        <w:rPr>
          <w:rFonts w:ascii="Arial" w:hAnsi="Arial" w:cs="Arial"/>
          <w:sz w:val="24"/>
          <w:szCs w:val="24"/>
        </w:rPr>
        <w:t xml:space="preserve">á prestación contributiva, xa que </w:t>
      </w:r>
      <w:r w:rsidR="00BA5198">
        <w:rPr>
          <w:rFonts w:ascii="Arial" w:hAnsi="Arial" w:cs="Arial"/>
          <w:sz w:val="24"/>
          <w:szCs w:val="24"/>
        </w:rPr>
        <w:t xml:space="preserve"> a esta hai dereito só por dous anos</w:t>
      </w:r>
      <w:r>
        <w:rPr>
          <w:rFonts w:ascii="Arial" w:hAnsi="Arial" w:cs="Arial"/>
          <w:sz w:val="24"/>
          <w:szCs w:val="24"/>
        </w:rPr>
        <w:t>.</w:t>
      </w:r>
    </w:p>
    <w:p w:rsidR="00E54D73" w:rsidRDefault="00E54D73" w:rsidP="005F10A7">
      <w:pPr>
        <w:rPr>
          <w:rFonts w:ascii="Arial" w:hAnsi="Arial" w:cs="Arial"/>
          <w:sz w:val="24"/>
          <w:szCs w:val="24"/>
        </w:rPr>
      </w:pPr>
    </w:p>
    <w:p w:rsidR="00B049E9" w:rsidRDefault="00B049E9" w:rsidP="005F10A7">
      <w:pPr>
        <w:rPr>
          <w:rFonts w:ascii="Arial" w:hAnsi="Arial" w:cs="Arial"/>
          <w:sz w:val="24"/>
          <w:szCs w:val="24"/>
        </w:rPr>
      </w:pPr>
    </w:p>
    <w:p w:rsidR="00B049E9" w:rsidRDefault="00B049E9" w:rsidP="005F10A7">
      <w:pPr>
        <w:rPr>
          <w:rFonts w:ascii="Arial" w:hAnsi="Arial" w:cs="Arial"/>
          <w:sz w:val="24"/>
          <w:szCs w:val="24"/>
        </w:rPr>
      </w:pPr>
    </w:p>
    <w:p w:rsidR="00B049E9" w:rsidRDefault="00B049E9" w:rsidP="005F10A7">
      <w:pPr>
        <w:rPr>
          <w:rFonts w:ascii="Arial" w:hAnsi="Arial" w:cs="Arial"/>
          <w:sz w:val="24"/>
          <w:szCs w:val="24"/>
        </w:rPr>
      </w:pPr>
    </w:p>
    <w:p w:rsidR="00B049E9" w:rsidRDefault="00B049E9" w:rsidP="005F10A7">
      <w:pPr>
        <w:rPr>
          <w:rFonts w:ascii="Arial" w:hAnsi="Arial" w:cs="Arial"/>
          <w:sz w:val="24"/>
          <w:szCs w:val="24"/>
        </w:rPr>
      </w:pPr>
    </w:p>
    <w:p w:rsidR="00B049E9" w:rsidRDefault="00B049E9" w:rsidP="005F10A7">
      <w:pPr>
        <w:rPr>
          <w:rFonts w:ascii="Arial" w:hAnsi="Arial" w:cs="Arial"/>
          <w:sz w:val="24"/>
          <w:szCs w:val="24"/>
        </w:rPr>
      </w:pPr>
    </w:p>
    <w:p w:rsidR="00B049E9" w:rsidRDefault="00B049E9" w:rsidP="005F10A7">
      <w:pPr>
        <w:rPr>
          <w:rFonts w:ascii="Arial" w:hAnsi="Arial" w:cs="Arial"/>
          <w:sz w:val="24"/>
          <w:szCs w:val="24"/>
        </w:rPr>
      </w:pPr>
    </w:p>
    <w:p w:rsidR="00E54D73" w:rsidRPr="002E0C06" w:rsidRDefault="00B049E9" w:rsidP="00B049E9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B049E9">
        <w:rPr>
          <w:rFonts w:ascii="Arial" w:hAnsi="Arial" w:cs="Arial"/>
          <w:b/>
          <w:sz w:val="28"/>
          <w:szCs w:val="28"/>
        </w:rPr>
        <w:lastRenderedPageBreak/>
        <w:t>Redúcese en 3,3 puntos a porcentaxe de parados/as que perciben algunha prestación</w:t>
      </w:r>
      <w:r w:rsidR="002E0C06" w:rsidRPr="002E0C06">
        <w:rPr>
          <w:rFonts w:ascii="Arial" w:hAnsi="Arial" w:cs="Arial"/>
          <w:b/>
          <w:sz w:val="28"/>
          <w:szCs w:val="28"/>
        </w:rPr>
        <w:t>, situándose, por primeira vez, de media anual por debaixo do 50%.</w:t>
      </w:r>
    </w:p>
    <w:p w:rsidR="00E54D73" w:rsidRPr="008C028D" w:rsidRDefault="00903559" w:rsidP="005F1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cobertura.</w:t>
      </w:r>
    </w:p>
    <w:tbl>
      <w:tblPr>
        <w:tblStyle w:val="Sombreadomedio2-nfasis11"/>
        <w:tblW w:w="7059" w:type="dxa"/>
        <w:tblLook w:val="04A0"/>
      </w:tblPr>
      <w:tblGrid>
        <w:gridCol w:w="3196"/>
        <w:gridCol w:w="1481"/>
        <w:gridCol w:w="2035"/>
        <w:gridCol w:w="1316"/>
      </w:tblGrid>
      <w:tr w:rsidR="00E54D73" w:rsidRPr="00E54D73" w:rsidTr="00B049E9">
        <w:trPr>
          <w:cnfStyle w:val="100000000000"/>
          <w:trHeight w:val="330"/>
        </w:trPr>
        <w:tc>
          <w:tcPr>
            <w:cnfStyle w:val="001000000100"/>
            <w:tcW w:w="3196" w:type="dxa"/>
            <w:noWrap/>
            <w:hideMark/>
          </w:tcPr>
          <w:p w:rsidR="00E54D73" w:rsidRPr="00E54D73" w:rsidRDefault="00E54D73" w:rsidP="00E54D73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E54D73" w:rsidRPr="00E54D73" w:rsidRDefault="00E54D73" w:rsidP="00E54D73">
            <w:pPr>
              <w:cnfStyle w:val="1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Parados/as medios</w:t>
            </w:r>
          </w:p>
        </w:tc>
        <w:tc>
          <w:tcPr>
            <w:tcW w:w="1679" w:type="dxa"/>
            <w:noWrap/>
            <w:hideMark/>
          </w:tcPr>
          <w:p w:rsidR="00E54D73" w:rsidRPr="00E54D73" w:rsidRDefault="00E54D73" w:rsidP="00E54D73">
            <w:pPr>
              <w:cnfStyle w:val="1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Beneficiarios/as de prestacións</w:t>
            </w:r>
          </w:p>
        </w:tc>
        <w:tc>
          <w:tcPr>
            <w:tcW w:w="1012" w:type="dxa"/>
            <w:noWrap/>
            <w:hideMark/>
          </w:tcPr>
          <w:p w:rsidR="00E54D73" w:rsidRPr="00E54D73" w:rsidRDefault="00E54D73" w:rsidP="00E54D73">
            <w:pPr>
              <w:cnfStyle w:val="1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Taxa de cobertura</w:t>
            </w:r>
          </w:p>
        </w:tc>
      </w:tr>
      <w:tr w:rsidR="00E54D73" w:rsidRPr="00E54D73" w:rsidTr="00B049E9">
        <w:trPr>
          <w:cnfStyle w:val="000000100000"/>
          <w:trHeight w:val="330"/>
        </w:trPr>
        <w:tc>
          <w:tcPr>
            <w:cnfStyle w:val="001000000000"/>
            <w:tcW w:w="3196" w:type="dxa"/>
            <w:noWrap/>
            <w:hideMark/>
          </w:tcPr>
          <w:p w:rsidR="00E54D73" w:rsidRPr="00E54D73" w:rsidRDefault="00E54D73" w:rsidP="00E54D73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7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150.546</w:t>
            </w:r>
          </w:p>
        </w:tc>
        <w:tc>
          <w:tcPr>
            <w:tcW w:w="1679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79.400</w:t>
            </w:r>
          </w:p>
        </w:tc>
        <w:tc>
          <w:tcPr>
            <w:tcW w:w="101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52,7</w:t>
            </w:r>
          </w:p>
        </w:tc>
      </w:tr>
      <w:tr w:rsidR="00E54D73" w:rsidRPr="00E54D73" w:rsidTr="00B049E9">
        <w:trPr>
          <w:trHeight w:val="315"/>
        </w:trPr>
        <w:tc>
          <w:tcPr>
            <w:cnfStyle w:val="001000000000"/>
            <w:tcW w:w="3196" w:type="dxa"/>
            <w:noWrap/>
            <w:hideMark/>
          </w:tcPr>
          <w:p w:rsidR="00E54D73" w:rsidRPr="00E54D73" w:rsidRDefault="00E54D73" w:rsidP="00E54D73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7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162.512</w:t>
            </w:r>
          </w:p>
        </w:tc>
        <w:tc>
          <w:tcPr>
            <w:tcW w:w="1679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94.300</w:t>
            </w:r>
          </w:p>
        </w:tc>
        <w:tc>
          <w:tcPr>
            <w:tcW w:w="101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58</w:t>
            </w:r>
          </w:p>
        </w:tc>
      </w:tr>
      <w:tr w:rsidR="00E54D73" w:rsidRPr="00E54D73" w:rsidTr="00B049E9">
        <w:trPr>
          <w:cnfStyle w:val="000000100000"/>
          <w:trHeight w:val="315"/>
        </w:trPr>
        <w:tc>
          <w:tcPr>
            <w:cnfStyle w:val="001000000000"/>
            <w:tcW w:w="3196" w:type="dxa"/>
            <w:noWrap/>
            <w:hideMark/>
          </w:tcPr>
          <w:p w:rsidR="00E54D73" w:rsidRPr="00E54D73" w:rsidRDefault="00E54D73" w:rsidP="00E54D73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7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206.245</w:t>
            </w:r>
          </w:p>
        </w:tc>
        <w:tc>
          <w:tcPr>
            <w:tcW w:w="1679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130.300</w:t>
            </w:r>
          </w:p>
        </w:tc>
        <w:tc>
          <w:tcPr>
            <w:tcW w:w="101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63,2</w:t>
            </w:r>
          </w:p>
        </w:tc>
      </w:tr>
      <w:tr w:rsidR="00E54D73" w:rsidRPr="00E54D73" w:rsidTr="00B049E9">
        <w:trPr>
          <w:trHeight w:val="315"/>
        </w:trPr>
        <w:tc>
          <w:tcPr>
            <w:cnfStyle w:val="001000000000"/>
            <w:tcW w:w="3196" w:type="dxa"/>
            <w:noWrap/>
            <w:hideMark/>
          </w:tcPr>
          <w:p w:rsidR="00E54D73" w:rsidRPr="00E54D73" w:rsidRDefault="00E54D73" w:rsidP="00E54D73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7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226.237</w:t>
            </w:r>
          </w:p>
        </w:tc>
        <w:tc>
          <w:tcPr>
            <w:tcW w:w="1679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149.600</w:t>
            </w:r>
          </w:p>
        </w:tc>
        <w:tc>
          <w:tcPr>
            <w:tcW w:w="101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66,1</w:t>
            </w:r>
          </w:p>
        </w:tc>
      </w:tr>
      <w:tr w:rsidR="00E54D73" w:rsidRPr="00E54D73" w:rsidTr="00B049E9">
        <w:trPr>
          <w:cnfStyle w:val="000000100000"/>
          <w:trHeight w:val="315"/>
        </w:trPr>
        <w:tc>
          <w:tcPr>
            <w:cnfStyle w:val="001000000000"/>
            <w:tcW w:w="3196" w:type="dxa"/>
            <w:noWrap/>
            <w:hideMark/>
          </w:tcPr>
          <w:p w:rsidR="00E54D73" w:rsidRPr="00E54D73" w:rsidRDefault="00E54D73" w:rsidP="00E54D73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7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241.323</w:t>
            </w:r>
          </w:p>
        </w:tc>
        <w:tc>
          <w:tcPr>
            <w:tcW w:w="1679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146.900</w:t>
            </w:r>
          </w:p>
        </w:tc>
        <w:tc>
          <w:tcPr>
            <w:tcW w:w="101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60,9</w:t>
            </w:r>
          </w:p>
        </w:tc>
      </w:tr>
      <w:tr w:rsidR="00E54D73" w:rsidRPr="00E54D73" w:rsidTr="00B049E9">
        <w:trPr>
          <w:trHeight w:val="315"/>
        </w:trPr>
        <w:tc>
          <w:tcPr>
            <w:cnfStyle w:val="001000000000"/>
            <w:tcW w:w="3196" w:type="dxa"/>
            <w:noWrap/>
            <w:hideMark/>
          </w:tcPr>
          <w:p w:rsidR="00E54D73" w:rsidRPr="00E54D73" w:rsidRDefault="00E54D73" w:rsidP="00E54D73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7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270.515</w:t>
            </w:r>
          </w:p>
        </w:tc>
        <w:tc>
          <w:tcPr>
            <w:tcW w:w="1679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158.600</w:t>
            </w:r>
          </w:p>
        </w:tc>
        <w:tc>
          <w:tcPr>
            <w:tcW w:w="101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58,6</w:t>
            </w:r>
          </w:p>
        </w:tc>
      </w:tr>
      <w:tr w:rsidR="00E54D73" w:rsidRPr="00E54D73" w:rsidTr="00B049E9">
        <w:trPr>
          <w:cnfStyle w:val="000000100000"/>
          <w:trHeight w:val="315"/>
        </w:trPr>
        <w:tc>
          <w:tcPr>
            <w:cnfStyle w:val="001000000000"/>
            <w:tcW w:w="3196" w:type="dxa"/>
            <w:noWrap/>
            <w:hideMark/>
          </w:tcPr>
          <w:p w:rsidR="00E54D73" w:rsidRPr="00E54D73" w:rsidRDefault="00E54D73" w:rsidP="00E54D73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7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276.007</w:t>
            </w:r>
          </w:p>
        </w:tc>
        <w:tc>
          <w:tcPr>
            <w:tcW w:w="1679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155.500</w:t>
            </w:r>
          </w:p>
        </w:tc>
        <w:tc>
          <w:tcPr>
            <w:tcW w:w="101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56,3</w:t>
            </w:r>
          </w:p>
        </w:tc>
      </w:tr>
      <w:tr w:rsidR="00E54D73" w:rsidRPr="00E54D73" w:rsidTr="00B049E9">
        <w:trPr>
          <w:trHeight w:val="330"/>
        </w:trPr>
        <w:tc>
          <w:tcPr>
            <w:cnfStyle w:val="001000000000"/>
            <w:tcW w:w="3196" w:type="dxa"/>
            <w:noWrap/>
            <w:hideMark/>
          </w:tcPr>
          <w:p w:rsidR="00E54D73" w:rsidRPr="00E54D73" w:rsidRDefault="00E54D73" w:rsidP="00E54D73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256.966</w:t>
            </w:r>
          </w:p>
        </w:tc>
        <w:tc>
          <w:tcPr>
            <w:tcW w:w="1679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134.700</w:t>
            </w:r>
          </w:p>
        </w:tc>
        <w:tc>
          <w:tcPr>
            <w:tcW w:w="101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0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52,4</w:t>
            </w:r>
          </w:p>
        </w:tc>
      </w:tr>
      <w:tr w:rsidR="00E54D73" w:rsidRPr="00E54D73" w:rsidTr="00B049E9">
        <w:trPr>
          <w:cnfStyle w:val="000000100000"/>
          <w:trHeight w:val="315"/>
        </w:trPr>
        <w:tc>
          <w:tcPr>
            <w:cnfStyle w:val="001000000000"/>
            <w:tcW w:w="3196" w:type="dxa"/>
            <w:noWrap/>
            <w:hideMark/>
          </w:tcPr>
          <w:p w:rsidR="00E54D73" w:rsidRPr="00E54D73" w:rsidRDefault="00E54D73" w:rsidP="00E54D73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17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  <w:t>233.449</w:t>
            </w:r>
          </w:p>
        </w:tc>
        <w:tc>
          <w:tcPr>
            <w:tcW w:w="1679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</w:pPr>
            <w:r w:rsidRPr="00E54D7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  <w:t>114.568</w:t>
            </w:r>
          </w:p>
        </w:tc>
        <w:tc>
          <w:tcPr>
            <w:tcW w:w="1012" w:type="dxa"/>
            <w:noWrap/>
            <w:hideMark/>
          </w:tcPr>
          <w:p w:rsidR="00E54D73" w:rsidRPr="00E54D73" w:rsidRDefault="00E54D73" w:rsidP="00E54D73">
            <w:pPr>
              <w:jc w:val="right"/>
              <w:cnfStyle w:val="00000010000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4D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49,1</w:t>
            </w:r>
          </w:p>
        </w:tc>
      </w:tr>
    </w:tbl>
    <w:p w:rsidR="005F10A7" w:rsidRPr="00903559" w:rsidRDefault="00903559" w:rsidP="005F10A7">
      <w:pPr>
        <w:rPr>
          <w:rFonts w:ascii="Arial" w:hAnsi="Arial" w:cs="Arial"/>
          <w:sz w:val="24"/>
          <w:szCs w:val="24"/>
        </w:rPr>
      </w:pPr>
      <w:r w:rsidRPr="00903559">
        <w:rPr>
          <w:rFonts w:ascii="Arial" w:hAnsi="Arial" w:cs="Arial"/>
          <w:sz w:val="24"/>
          <w:szCs w:val="24"/>
        </w:rPr>
        <w:t>Fonte:Elaboración propia. Datos SEPE.</w:t>
      </w:r>
    </w:p>
    <w:p w:rsidR="000E6E3A" w:rsidRDefault="00903559" w:rsidP="005F10A7">
      <w:pPr>
        <w:rPr>
          <w:rFonts w:ascii="Arial" w:hAnsi="Arial" w:cs="Arial"/>
          <w:b/>
          <w:sz w:val="32"/>
          <w:szCs w:val="32"/>
        </w:rPr>
      </w:pPr>
      <w:r w:rsidRPr="00903559"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4772025" cy="2743200"/>
            <wp:effectExtent l="19050" t="0" r="9525" b="0"/>
            <wp:docPr id="1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0C06" w:rsidRDefault="002E0C06" w:rsidP="002E0C06">
      <w:pPr>
        <w:jc w:val="both"/>
        <w:rPr>
          <w:rFonts w:ascii="Arial" w:hAnsi="Arial" w:cs="Arial"/>
          <w:sz w:val="24"/>
          <w:szCs w:val="24"/>
        </w:rPr>
      </w:pPr>
      <w:r w:rsidRPr="002E0C06">
        <w:rPr>
          <w:rFonts w:ascii="Arial" w:hAnsi="Arial" w:cs="Arial"/>
          <w:sz w:val="24"/>
          <w:szCs w:val="24"/>
        </w:rPr>
        <w:t>A partir do ano 2008, cando comeza a medrar desaforadamente o desemprego, a taxa de cobertura medra, xa que estes desempregados/as teñen dereito á prestación</w:t>
      </w:r>
      <w:r w:rsidR="00536351">
        <w:rPr>
          <w:rFonts w:ascii="Arial" w:hAnsi="Arial" w:cs="Arial"/>
          <w:sz w:val="24"/>
          <w:szCs w:val="24"/>
        </w:rPr>
        <w:t>. Porén,</w:t>
      </w:r>
      <w:r w:rsidRPr="002E0C06">
        <w:rPr>
          <w:rFonts w:ascii="Arial" w:hAnsi="Arial" w:cs="Arial"/>
          <w:sz w:val="24"/>
          <w:szCs w:val="24"/>
        </w:rPr>
        <w:t xml:space="preserve"> a medida que transcorre o tempo, ao non atoparen traballo para seguir cotizando, as prestacións vanse esgotando. E así, a partir do ano 2010 aínda que o desemprego continúe medrando, as persoas beneficiarias de prestación diminúen e, polo tanto, a taxa de cobertura. Deste xeito, a finais de </w:t>
      </w:r>
      <w:r w:rsidRPr="002E0C06">
        <w:rPr>
          <w:rFonts w:ascii="Arial" w:hAnsi="Arial" w:cs="Arial"/>
          <w:sz w:val="24"/>
          <w:szCs w:val="24"/>
        </w:rPr>
        <w:lastRenderedPageBreak/>
        <w:t>2014 apenas un 52,4% dos parados/as recibían algún tipo de prestación, lonxe do 66% do ano 2010.</w:t>
      </w:r>
    </w:p>
    <w:p w:rsidR="002E0C06" w:rsidRDefault="002E0C06" w:rsidP="002E0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2015, a pesar de </w:t>
      </w:r>
      <w:r w:rsidR="0053635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reducir o desemprego, mantense un número moi elevado de parados</w:t>
      </w:r>
      <w:r w:rsidR="00536351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con máis de </w:t>
      </w:r>
      <w:r w:rsidR="00FD0FD6">
        <w:rPr>
          <w:rFonts w:ascii="Arial" w:hAnsi="Arial" w:cs="Arial"/>
          <w:sz w:val="24"/>
          <w:szCs w:val="24"/>
        </w:rPr>
        <w:t>2 anos sen emprego, o que leva a que a cobertura continúe descendendo, situándose por primeira vez por debaixo do 50</w:t>
      </w:r>
      <w:r w:rsidR="005A117F">
        <w:rPr>
          <w:rFonts w:ascii="Arial" w:hAnsi="Arial" w:cs="Arial"/>
          <w:sz w:val="24"/>
          <w:szCs w:val="24"/>
        </w:rPr>
        <w:t>%, concretamente no 49,1% de media, no ano 2015.</w:t>
      </w:r>
    </w:p>
    <w:p w:rsidR="00DB0326" w:rsidRDefault="00DB0326" w:rsidP="00DB0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Perda de postos de traballo e precarización dos existentes </w:t>
      </w:r>
      <w:r w:rsidR="00536351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o resulta</w:t>
      </w:r>
      <w:r w:rsidR="00536351">
        <w:rPr>
          <w:rFonts w:ascii="Arial" w:hAnsi="Arial" w:cs="Arial"/>
          <w:sz w:val="24"/>
          <w:szCs w:val="24"/>
        </w:rPr>
        <w:t>do desta crise e sobre todo da súa x</w:t>
      </w:r>
      <w:r>
        <w:rPr>
          <w:rFonts w:ascii="Arial" w:hAnsi="Arial" w:cs="Arial"/>
          <w:sz w:val="24"/>
          <w:szCs w:val="24"/>
        </w:rPr>
        <w:t>estión, xa que as</w:t>
      </w:r>
      <w:r w:rsidR="00E07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reformas laborais implementadas neste período non fixeron máis que agravar as consecuencias da crise vía redución dos ingresos dos traballadores</w:t>
      </w:r>
      <w:r w:rsidR="00536351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que non perderon o posto de traballo, vol</w:t>
      </w:r>
      <w:r w:rsidR="00536351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ndo </w:t>
      </w:r>
      <w:r w:rsidR="00536351">
        <w:rPr>
          <w:rFonts w:ascii="Arial" w:hAnsi="Arial" w:cs="Arial"/>
          <w:sz w:val="24"/>
          <w:szCs w:val="24"/>
        </w:rPr>
        <w:t>ao primeiro plano</w:t>
      </w:r>
      <w:r>
        <w:rPr>
          <w:rFonts w:ascii="Arial" w:hAnsi="Arial" w:cs="Arial"/>
          <w:sz w:val="24"/>
          <w:szCs w:val="24"/>
        </w:rPr>
        <w:t xml:space="preserve"> o vello termo “pobre laboral”.</w:t>
      </w:r>
    </w:p>
    <w:p w:rsidR="00DB0326" w:rsidRDefault="00DB0326" w:rsidP="00DB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aquí non están todos</w:t>
      </w:r>
      <w:r w:rsidR="00536351">
        <w:rPr>
          <w:rFonts w:ascii="Arial" w:hAnsi="Arial" w:cs="Arial"/>
          <w:sz w:val="24"/>
          <w:szCs w:val="24"/>
        </w:rPr>
        <w:t>/as. F</w:t>
      </w:r>
      <w:r>
        <w:rPr>
          <w:rFonts w:ascii="Arial" w:hAnsi="Arial" w:cs="Arial"/>
          <w:sz w:val="24"/>
          <w:szCs w:val="24"/>
        </w:rPr>
        <w:t>altan os miles de mozos e mozas que ante esta si</w:t>
      </w:r>
      <w:r w:rsidR="00536351">
        <w:rPr>
          <w:rFonts w:ascii="Arial" w:hAnsi="Arial" w:cs="Arial"/>
          <w:sz w:val="24"/>
          <w:szCs w:val="24"/>
        </w:rPr>
        <w:t xml:space="preserve">tuación optaron pola emigración; </w:t>
      </w:r>
      <w:r>
        <w:rPr>
          <w:rFonts w:ascii="Arial" w:hAnsi="Arial" w:cs="Arial"/>
          <w:sz w:val="24"/>
          <w:szCs w:val="24"/>
        </w:rPr>
        <w:t>senón</w:t>
      </w:r>
      <w:r w:rsidR="005363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datos serían aínda máis alarmantes.</w:t>
      </w:r>
    </w:p>
    <w:p w:rsidR="00DB0326" w:rsidRDefault="00DB0326" w:rsidP="00DB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Emigración, paro, redución de salarios, redución do estado do benestar..</w:t>
      </w:r>
      <w:r w:rsidR="005363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é o </w:t>
      </w:r>
      <w:r w:rsidR="00231629">
        <w:rPr>
          <w:rFonts w:ascii="Arial" w:hAnsi="Arial" w:cs="Arial"/>
          <w:sz w:val="24"/>
          <w:szCs w:val="24"/>
        </w:rPr>
        <w:t xml:space="preserve">triste </w:t>
      </w:r>
      <w:r>
        <w:rPr>
          <w:rFonts w:ascii="Arial" w:hAnsi="Arial" w:cs="Arial"/>
          <w:sz w:val="24"/>
          <w:szCs w:val="24"/>
        </w:rPr>
        <w:t>legado que nos deixa Feijoo da súa estadía en San Caetano.</w:t>
      </w:r>
    </w:p>
    <w:p w:rsidR="005A117F" w:rsidRDefault="005A117F" w:rsidP="002E0C06">
      <w:pPr>
        <w:jc w:val="both"/>
        <w:rPr>
          <w:rFonts w:ascii="Arial" w:hAnsi="Arial" w:cs="Arial"/>
          <w:sz w:val="24"/>
          <w:szCs w:val="24"/>
        </w:rPr>
      </w:pPr>
    </w:p>
    <w:p w:rsidR="000A4A09" w:rsidRPr="002E0C06" w:rsidRDefault="000A4A09" w:rsidP="002E0C06">
      <w:pPr>
        <w:jc w:val="both"/>
        <w:rPr>
          <w:rFonts w:ascii="Arial" w:hAnsi="Arial" w:cs="Arial"/>
          <w:sz w:val="24"/>
          <w:szCs w:val="24"/>
        </w:rPr>
      </w:pPr>
    </w:p>
    <w:p w:rsidR="000E6E3A" w:rsidRPr="002E0C06" w:rsidRDefault="000E6E3A" w:rsidP="005F10A7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Default="00B137AB">
      <w:pPr>
        <w:rPr>
          <w:rFonts w:ascii="Arial" w:hAnsi="Arial" w:cs="Arial"/>
          <w:sz w:val="24"/>
          <w:szCs w:val="24"/>
        </w:rPr>
      </w:pPr>
    </w:p>
    <w:p w:rsidR="00B137AB" w:rsidRPr="00E52179" w:rsidRDefault="00B137AB">
      <w:pPr>
        <w:rPr>
          <w:rFonts w:ascii="Arial" w:hAnsi="Arial" w:cs="Arial"/>
          <w:sz w:val="24"/>
          <w:szCs w:val="24"/>
        </w:rPr>
      </w:pPr>
    </w:p>
    <w:sectPr w:rsidR="00B137AB" w:rsidRPr="00E52179" w:rsidSect="00B87371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3B" w:rsidRDefault="006F703B" w:rsidP="00314C80">
      <w:pPr>
        <w:spacing w:after="0" w:line="240" w:lineRule="auto"/>
      </w:pPr>
      <w:r>
        <w:separator/>
      </w:r>
    </w:p>
  </w:endnote>
  <w:endnote w:type="continuationSeparator" w:id="1">
    <w:p w:rsidR="006F703B" w:rsidRDefault="006F703B" w:rsidP="0031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5254"/>
      <w:docPartObj>
        <w:docPartGallery w:val="Page Numbers (Bottom of Page)"/>
        <w:docPartUnique/>
      </w:docPartObj>
    </w:sdtPr>
    <w:sdtContent>
      <w:p w:rsidR="00EC47A7" w:rsidRDefault="00EC47A7">
        <w:pPr>
          <w:pStyle w:val="Piedepgina"/>
        </w:pPr>
        <w:fldSimple w:instr=" PAGE   \* MERGEFORMAT ">
          <w:r w:rsidR="0004492B">
            <w:rPr>
              <w:noProof/>
            </w:rPr>
            <w:t>30</w:t>
          </w:r>
        </w:fldSimple>
      </w:p>
    </w:sdtContent>
  </w:sdt>
  <w:p w:rsidR="00EC47A7" w:rsidRDefault="00EC47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3B" w:rsidRDefault="006F703B" w:rsidP="00314C80">
      <w:pPr>
        <w:spacing w:after="0" w:line="240" w:lineRule="auto"/>
      </w:pPr>
      <w:r>
        <w:separator/>
      </w:r>
    </w:p>
  </w:footnote>
  <w:footnote w:type="continuationSeparator" w:id="1">
    <w:p w:rsidR="006F703B" w:rsidRDefault="006F703B" w:rsidP="0031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A7" w:rsidRDefault="00EC47A7">
    <w:pPr>
      <w:pStyle w:val="Encabezado"/>
    </w:pPr>
  </w:p>
  <w:p w:rsidR="00EC47A7" w:rsidRDefault="00EC47A7">
    <w:pPr>
      <w:pStyle w:val="Encabezado"/>
    </w:pPr>
  </w:p>
  <w:p w:rsidR="00EC47A7" w:rsidRDefault="00EC47A7">
    <w:pPr>
      <w:pStyle w:val="Encabezado"/>
    </w:pPr>
  </w:p>
  <w:p w:rsidR="00EC47A7" w:rsidRDefault="00EC47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D37"/>
    <w:multiLevelType w:val="hybridMultilevel"/>
    <w:tmpl w:val="EBC8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6CCC"/>
    <w:multiLevelType w:val="hybridMultilevel"/>
    <w:tmpl w:val="524A7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A7116"/>
    <w:multiLevelType w:val="hybridMultilevel"/>
    <w:tmpl w:val="CEF07A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81772"/>
    <w:multiLevelType w:val="hybridMultilevel"/>
    <w:tmpl w:val="C6BCB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560D"/>
    <w:multiLevelType w:val="hybridMultilevel"/>
    <w:tmpl w:val="5330D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4D5B"/>
    <w:multiLevelType w:val="hybridMultilevel"/>
    <w:tmpl w:val="C6F0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62434"/>
    <w:multiLevelType w:val="hybridMultilevel"/>
    <w:tmpl w:val="ACFAA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81A5B"/>
    <w:multiLevelType w:val="hybridMultilevel"/>
    <w:tmpl w:val="17AC9A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82D7F"/>
    <w:multiLevelType w:val="hybridMultilevel"/>
    <w:tmpl w:val="3FCE0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F364F"/>
    <w:multiLevelType w:val="hybridMultilevel"/>
    <w:tmpl w:val="4A90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16973"/>
    <w:multiLevelType w:val="hybridMultilevel"/>
    <w:tmpl w:val="5852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754"/>
    <w:rsid w:val="00004602"/>
    <w:rsid w:val="00005FE7"/>
    <w:rsid w:val="00010173"/>
    <w:rsid w:val="00014ADC"/>
    <w:rsid w:val="00030316"/>
    <w:rsid w:val="00031631"/>
    <w:rsid w:val="000424A7"/>
    <w:rsid w:val="0004492B"/>
    <w:rsid w:val="000451B2"/>
    <w:rsid w:val="000477B1"/>
    <w:rsid w:val="00047AB7"/>
    <w:rsid w:val="00081225"/>
    <w:rsid w:val="00086EF3"/>
    <w:rsid w:val="00090F40"/>
    <w:rsid w:val="000A4A09"/>
    <w:rsid w:val="000A5B42"/>
    <w:rsid w:val="000B0280"/>
    <w:rsid w:val="000B74C4"/>
    <w:rsid w:val="000C1160"/>
    <w:rsid w:val="000C1DD2"/>
    <w:rsid w:val="000C1E58"/>
    <w:rsid w:val="000D3C03"/>
    <w:rsid w:val="000E0BAE"/>
    <w:rsid w:val="000E2B02"/>
    <w:rsid w:val="000E6E3A"/>
    <w:rsid w:val="000F2607"/>
    <w:rsid w:val="000F7577"/>
    <w:rsid w:val="00102E19"/>
    <w:rsid w:val="00102E75"/>
    <w:rsid w:val="00105B91"/>
    <w:rsid w:val="0011139F"/>
    <w:rsid w:val="00154F22"/>
    <w:rsid w:val="001767EC"/>
    <w:rsid w:val="00185FF6"/>
    <w:rsid w:val="001A6A84"/>
    <w:rsid w:val="001A70BA"/>
    <w:rsid w:val="001B0CE0"/>
    <w:rsid w:val="001B5EFE"/>
    <w:rsid w:val="001C1BEC"/>
    <w:rsid w:val="001D5B09"/>
    <w:rsid w:val="002073B9"/>
    <w:rsid w:val="002123F8"/>
    <w:rsid w:val="00217AC7"/>
    <w:rsid w:val="00231629"/>
    <w:rsid w:val="00241A60"/>
    <w:rsid w:val="002657BD"/>
    <w:rsid w:val="0026753F"/>
    <w:rsid w:val="00280FAE"/>
    <w:rsid w:val="002812AC"/>
    <w:rsid w:val="002855B3"/>
    <w:rsid w:val="002926DE"/>
    <w:rsid w:val="002A3CEB"/>
    <w:rsid w:val="002A5B7F"/>
    <w:rsid w:val="002B4C8A"/>
    <w:rsid w:val="002B7C10"/>
    <w:rsid w:val="002C73E4"/>
    <w:rsid w:val="002D0DE5"/>
    <w:rsid w:val="002D2B96"/>
    <w:rsid w:val="002E0C06"/>
    <w:rsid w:val="002F6FF2"/>
    <w:rsid w:val="0031259D"/>
    <w:rsid w:val="00314861"/>
    <w:rsid w:val="00314C80"/>
    <w:rsid w:val="00317136"/>
    <w:rsid w:val="00330754"/>
    <w:rsid w:val="003368C3"/>
    <w:rsid w:val="00352FC2"/>
    <w:rsid w:val="0035620B"/>
    <w:rsid w:val="003725C7"/>
    <w:rsid w:val="0037759D"/>
    <w:rsid w:val="0038599A"/>
    <w:rsid w:val="00392B17"/>
    <w:rsid w:val="00393B95"/>
    <w:rsid w:val="00397BAB"/>
    <w:rsid w:val="003A0564"/>
    <w:rsid w:val="003B32C2"/>
    <w:rsid w:val="003C685C"/>
    <w:rsid w:val="003E539F"/>
    <w:rsid w:val="003F25FE"/>
    <w:rsid w:val="003F4470"/>
    <w:rsid w:val="004054E2"/>
    <w:rsid w:val="00414836"/>
    <w:rsid w:val="00416E0A"/>
    <w:rsid w:val="0044397F"/>
    <w:rsid w:val="004508AE"/>
    <w:rsid w:val="00451601"/>
    <w:rsid w:val="00454C50"/>
    <w:rsid w:val="00455E2D"/>
    <w:rsid w:val="00463798"/>
    <w:rsid w:val="004666FC"/>
    <w:rsid w:val="00476177"/>
    <w:rsid w:val="004C2B93"/>
    <w:rsid w:val="004C7F5C"/>
    <w:rsid w:val="004F5E35"/>
    <w:rsid w:val="00501AD8"/>
    <w:rsid w:val="00534A62"/>
    <w:rsid w:val="00536351"/>
    <w:rsid w:val="00543BE9"/>
    <w:rsid w:val="00562CDB"/>
    <w:rsid w:val="005644B2"/>
    <w:rsid w:val="00591A93"/>
    <w:rsid w:val="00595748"/>
    <w:rsid w:val="005A117F"/>
    <w:rsid w:val="005A688F"/>
    <w:rsid w:val="005B7756"/>
    <w:rsid w:val="005B7F44"/>
    <w:rsid w:val="005C0695"/>
    <w:rsid w:val="005D1990"/>
    <w:rsid w:val="005E1A48"/>
    <w:rsid w:val="005E521C"/>
    <w:rsid w:val="005F07CD"/>
    <w:rsid w:val="005F10A7"/>
    <w:rsid w:val="00601E15"/>
    <w:rsid w:val="00603ED4"/>
    <w:rsid w:val="006047D2"/>
    <w:rsid w:val="0060575A"/>
    <w:rsid w:val="00611D6A"/>
    <w:rsid w:val="00624155"/>
    <w:rsid w:val="00624FF6"/>
    <w:rsid w:val="00630FEF"/>
    <w:rsid w:val="00632B54"/>
    <w:rsid w:val="006336C5"/>
    <w:rsid w:val="006424B6"/>
    <w:rsid w:val="00652C94"/>
    <w:rsid w:val="006618C5"/>
    <w:rsid w:val="00670963"/>
    <w:rsid w:val="00670A5B"/>
    <w:rsid w:val="006741AE"/>
    <w:rsid w:val="0068121F"/>
    <w:rsid w:val="0068347B"/>
    <w:rsid w:val="00686B02"/>
    <w:rsid w:val="006A5B96"/>
    <w:rsid w:val="006A6A06"/>
    <w:rsid w:val="006B33CE"/>
    <w:rsid w:val="006E1D76"/>
    <w:rsid w:val="006F703B"/>
    <w:rsid w:val="00704C86"/>
    <w:rsid w:val="0072226D"/>
    <w:rsid w:val="00742BB9"/>
    <w:rsid w:val="00751F1A"/>
    <w:rsid w:val="0076247D"/>
    <w:rsid w:val="00764563"/>
    <w:rsid w:val="00794409"/>
    <w:rsid w:val="00795441"/>
    <w:rsid w:val="00795871"/>
    <w:rsid w:val="007A2902"/>
    <w:rsid w:val="007B46C0"/>
    <w:rsid w:val="007B589B"/>
    <w:rsid w:val="007C1B67"/>
    <w:rsid w:val="007D31F1"/>
    <w:rsid w:val="007D6754"/>
    <w:rsid w:val="007E36FA"/>
    <w:rsid w:val="007F03F1"/>
    <w:rsid w:val="0080183C"/>
    <w:rsid w:val="008044CD"/>
    <w:rsid w:val="00823B67"/>
    <w:rsid w:val="00825D0C"/>
    <w:rsid w:val="00835190"/>
    <w:rsid w:val="008372F1"/>
    <w:rsid w:val="008531C1"/>
    <w:rsid w:val="00853F2F"/>
    <w:rsid w:val="00863BEA"/>
    <w:rsid w:val="00885BB4"/>
    <w:rsid w:val="008A0FD1"/>
    <w:rsid w:val="008A3092"/>
    <w:rsid w:val="008A35B9"/>
    <w:rsid w:val="008A6677"/>
    <w:rsid w:val="008A7D03"/>
    <w:rsid w:val="008C028D"/>
    <w:rsid w:val="008F77C3"/>
    <w:rsid w:val="00902544"/>
    <w:rsid w:val="00903559"/>
    <w:rsid w:val="0091382E"/>
    <w:rsid w:val="00924AC6"/>
    <w:rsid w:val="00932C15"/>
    <w:rsid w:val="00943776"/>
    <w:rsid w:val="00950515"/>
    <w:rsid w:val="00960869"/>
    <w:rsid w:val="00963D34"/>
    <w:rsid w:val="0098088D"/>
    <w:rsid w:val="00986648"/>
    <w:rsid w:val="00990382"/>
    <w:rsid w:val="009A19D5"/>
    <w:rsid w:val="009B0AEA"/>
    <w:rsid w:val="009B7FEE"/>
    <w:rsid w:val="009D06FD"/>
    <w:rsid w:val="009F2C41"/>
    <w:rsid w:val="00A0027F"/>
    <w:rsid w:val="00A023BA"/>
    <w:rsid w:val="00A0585D"/>
    <w:rsid w:val="00A076EA"/>
    <w:rsid w:val="00A33238"/>
    <w:rsid w:val="00A443E4"/>
    <w:rsid w:val="00A64713"/>
    <w:rsid w:val="00A66081"/>
    <w:rsid w:val="00A673B7"/>
    <w:rsid w:val="00A829EC"/>
    <w:rsid w:val="00A864A6"/>
    <w:rsid w:val="00A9390D"/>
    <w:rsid w:val="00A95B3A"/>
    <w:rsid w:val="00AA7953"/>
    <w:rsid w:val="00AB0457"/>
    <w:rsid w:val="00AB62F5"/>
    <w:rsid w:val="00AE3CFE"/>
    <w:rsid w:val="00AF0444"/>
    <w:rsid w:val="00B03E2A"/>
    <w:rsid w:val="00B049E9"/>
    <w:rsid w:val="00B06973"/>
    <w:rsid w:val="00B06F86"/>
    <w:rsid w:val="00B13507"/>
    <w:rsid w:val="00B137AB"/>
    <w:rsid w:val="00B23EB3"/>
    <w:rsid w:val="00B24B6D"/>
    <w:rsid w:val="00B417B1"/>
    <w:rsid w:val="00B42879"/>
    <w:rsid w:val="00B449AF"/>
    <w:rsid w:val="00B54CCC"/>
    <w:rsid w:val="00B66389"/>
    <w:rsid w:val="00B8018A"/>
    <w:rsid w:val="00B82623"/>
    <w:rsid w:val="00B83C95"/>
    <w:rsid w:val="00B87371"/>
    <w:rsid w:val="00B91DC7"/>
    <w:rsid w:val="00BA5198"/>
    <w:rsid w:val="00BA51B0"/>
    <w:rsid w:val="00BC301D"/>
    <w:rsid w:val="00BC50F6"/>
    <w:rsid w:val="00BC7E40"/>
    <w:rsid w:val="00BE75CE"/>
    <w:rsid w:val="00C011ED"/>
    <w:rsid w:val="00C115C2"/>
    <w:rsid w:val="00C30066"/>
    <w:rsid w:val="00C32EFF"/>
    <w:rsid w:val="00C4362E"/>
    <w:rsid w:val="00C46370"/>
    <w:rsid w:val="00C52A82"/>
    <w:rsid w:val="00C61103"/>
    <w:rsid w:val="00C64407"/>
    <w:rsid w:val="00C644BD"/>
    <w:rsid w:val="00C70FD1"/>
    <w:rsid w:val="00C90691"/>
    <w:rsid w:val="00CA507C"/>
    <w:rsid w:val="00CA63CB"/>
    <w:rsid w:val="00CB45C0"/>
    <w:rsid w:val="00CC262D"/>
    <w:rsid w:val="00CC282F"/>
    <w:rsid w:val="00CC7AA3"/>
    <w:rsid w:val="00CD2CCB"/>
    <w:rsid w:val="00CD3770"/>
    <w:rsid w:val="00CE476D"/>
    <w:rsid w:val="00D03C9F"/>
    <w:rsid w:val="00D04C22"/>
    <w:rsid w:val="00D215FA"/>
    <w:rsid w:val="00D330F4"/>
    <w:rsid w:val="00D4636B"/>
    <w:rsid w:val="00D56BAA"/>
    <w:rsid w:val="00D654B4"/>
    <w:rsid w:val="00D94422"/>
    <w:rsid w:val="00D9552D"/>
    <w:rsid w:val="00DA0A41"/>
    <w:rsid w:val="00DB0326"/>
    <w:rsid w:val="00DB4581"/>
    <w:rsid w:val="00DC2F56"/>
    <w:rsid w:val="00DC3E28"/>
    <w:rsid w:val="00DC4753"/>
    <w:rsid w:val="00DD36B7"/>
    <w:rsid w:val="00DE1F30"/>
    <w:rsid w:val="00DF626B"/>
    <w:rsid w:val="00E0776D"/>
    <w:rsid w:val="00E26182"/>
    <w:rsid w:val="00E42CF4"/>
    <w:rsid w:val="00E4317E"/>
    <w:rsid w:val="00E44CD7"/>
    <w:rsid w:val="00E47D00"/>
    <w:rsid w:val="00E52179"/>
    <w:rsid w:val="00E54D73"/>
    <w:rsid w:val="00E67852"/>
    <w:rsid w:val="00E7651D"/>
    <w:rsid w:val="00E80F4F"/>
    <w:rsid w:val="00E86D44"/>
    <w:rsid w:val="00EA366F"/>
    <w:rsid w:val="00EA73BF"/>
    <w:rsid w:val="00EA79E6"/>
    <w:rsid w:val="00EB3386"/>
    <w:rsid w:val="00EC2862"/>
    <w:rsid w:val="00EC47A7"/>
    <w:rsid w:val="00EC5FEE"/>
    <w:rsid w:val="00ED5C22"/>
    <w:rsid w:val="00EE6130"/>
    <w:rsid w:val="00EE787C"/>
    <w:rsid w:val="00EF4812"/>
    <w:rsid w:val="00F12D31"/>
    <w:rsid w:val="00F213EF"/>
    <w:rsid w:val="00F2346F"/>
    <w:rsid w:val="00F251D6"/>
    <w:rsid w:val="00F75F9E"/>
    <w:rsid w:val="00F82326"/>
    <w:rsid w:val="00F91A36"/>
    <w:rsid w:val="00FB26AB"/>
    <w:rsid w:val="00FC32AC"/>
    <w:rsid w:val="00FD0FD6"/>
    <w:rsid w:val="00FD358B"/>
    <w:rsid w:val="00F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01"/>
    <w:rPr>
      <w:rFonts w:eastAsiaTheme="minorEastAsia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515"/>
    <w:rPr>
      <w:rFonts w:ascii="Tahoma" w:eastAsiaTheme="minorEastAsia" w:hAnsi="Tahoma" w:cs="Tahoma"/>
      <w:sz w:val="16"/>
      <w:szCs w:val="16"/>
    </w:rPr>
  </w:style>
  <w:style w:type="table" w:customStyle="1" w:styleId="Sombreadoclaro-nfasis11">
    <w:name w:val="Sombreado claro - Énfasis 11"/>
    <w:basedOn w:val="Tablanormal"/>
    <w:uiPriority w:val="60"/>
    <w:rsid w:val="002D2B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4C2B93"/>
    <w:pPr>
      <w:ind w:left="720"/>
      <w:contextualSpacing/>
    </w:pPr>
  </w:style>
  <w:style w:type="table" w:customStyle="1" w:styleId="Sombreadoclaro-nfasis12">
    <w:name w:val="Sombreado claro - Énfasis 12"/>
    <w:basedOn w:val="Tablanormal"/>
    <w:uiPriority w:val="60"/>
    <w:rsid w:val="00670A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85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D654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E80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2A5B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2">
    <w:name w:val="Sombreado medio 2 - Énfasis 12"/>
    <w:basedOn w:val="Tablanormal"/>
    <w:uiPriority w:val="64"/>
    <w:rsid w:val="00823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14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C80"/>
    <w:rPr>
      <w:rFonts w:eastAsiaTheme="minorEastAsia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314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C80"/>
    <w:rPr>
      <w:rFonts w:eastAsiaTheme="minorEastAsia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Econom&#237;a\Axencia%20tributaria\2014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laboral\Epa\2015\Nuevo%20Hoja%20de%20c&#225;lculo%20de%20Microsoft%20Office%20Excel%2097-2003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laboral\Epa\2015\Nuevo%20Hoja%20de%20c&#225;lculo%20de%20Microsoft%20Office%20Excel%2097-2003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laboral\Epa\2015\Nuevo%20Hoja%20de%20c&#225;lculo%20de%20Microsoft%20Office%20Excel%2097-200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Excel\INEM\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Excel\INEM\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Excel\INEM\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Excel\INEM\201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EPA\2015\Nuevo%20Hoja%20de%20c&#225;lculo%20de%20Microsoft%20Office%20Excel%2097-200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EPA\2015\Nuevo%20Hoja%20de%20c&#225;lculo%20de%20Microsoft%20Office%20Excel%2097-2003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laboral\Epa\2015\Nuevo%20Hoja%20de%20c&#225;lculo%20de%20Microsoft%20Office%20Excel%2097-2003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laboral\Epa\2015\Nuevo%20Hoja%20de%20c&#225;lculo%20de%20Microsoft%20Office%20Excel%2097-20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col"/>
        <c:grouping val="clustered"/>
        <c:ser>
          <c:idx val="0"/>
          <c:order val="0"/>
          <c:tx>
            <c:strRef>
              <c:f>Hoja3!$B$59</c:f>
              <c:strCache>
                <c:ptCount val="1"/>
                <c:pt idx="0">
                  <c:v>Asalariados</c:v>
                </c:pt>
              </c:strCache>
            </c:strRef>
          </c:tx>
          <c:cat>
            <c:strRef>
              <c:f>Hoja3!$A$60:$A$72</c:f>
              <c:strCache>
                <c:ptCount val="13"/>
                <c:pt idx="0">
                  <c:v>De 0 a 0,5 SMI</c:v>
                </c:pt>
                <c:pt idx="1">
                  <c:v>De 0,5 a 1 SMI</c:v>
                </c:pt>
                <c:pt idx="2">
                  <c:v>De 1 a 1,5 SMI</c:v>
                </c:pt>
                <c:pt idx="3">
                  <c:v>De 1,5 a 2 SMI</c:v>
                </c:pt>
                <c:pt idx="4">
                  <c:v>De 2 a 2,5 SMI</c:v>
                </c:pt>
                <c:pt idx="5">
                  <c:v>De 2,5 a 3 SMI</c:v>
                </c:pt>
                <c:pt idx="6">
                  <c:v>De 3 a 3,5 SMI</c:v>
                </c:pt>
                <c:pt idx="7">
                  <c:v>De 3,5 a 4 SMI</c:v>
                </c:pt>
                <c:pt idx="8">
                  <c:v>De 4 a 4,5 SMI</c:v>
                </c:pt>
                <c:pt idx="9">
                  <c:v>De 4,5 a 5 SMI</c:v>
                </c:pt>
                <c:pt idx="10">
                  <c:v>De 5 a 7,5 SMI</c:v>
                </c:pt>
                <c:pt idx="11">
                  <c:v>De 7,5 a 10 SMI</c:v>
                </c:pt>
                <c:pt idx="12">
                  <c:v>Más de 10 SMI</c:v>
                </c:pt>
              </c:strCache>
            </c:strRef>
          </c:cat>
          <c:val>
            <c:numRef>
              <c:f>Hoja3!$B$60:$B$72</c:f>
              <c:numCache>
                <c:formatCode>#,##0</c:formatCode>
                <c:ptCount val="13"/>
                <c:pt idx="0">
                  <c:v>18605</c:v>
                </c:pt>
                <c:pt idx="1">
                  <c:v>-8331</c:v>
                </c:pt>
                <c:pt idx="2">
                  <c:v>-28180</c:v>
                </c:pt>
                <c:pt idx="3">
                  <c:v>-46741</c:v>
                </c:pt>
                <c:pt idx="4">
                  <c:v>-15445</c:v>
                </c:pt>
                <c:pt idx="5">
                  <c:v>-10770</c:v>
                </c:pt>
                <c:pt idx="6">
                  <c:v>-503</c:v>
                </c:pt>
                <c:pt idx="7">
                  <c:v>-3513</c:v>
                </c:pt>
                <c:pt idx="8">
                  <c:v>-3576</c:v>
                </c:pt>
                <c:pt idx="9">
                  <c:v>-10557</c:v>
                </c:pt>
                <c:pt idx="10">
                  <c:v>-9689</c:v>
                </c:pt>
                <c:pt idx="11">
                  <c:v>-3292</c:v>
                </c:pt>
                <c:pt idx="12">
                  <c:v>-2063</c:v>
                </c:pt>
              </c:numCache>
            </c:numRef>
          </c:val>
        </c:ser>
        <c:ser>
          <c:idx val="1"/>
          <c:order val="1"/>
          <c:tx>
            <c:strRef>
              <c:f>Hoja3!$C$59</c:f>
              <c:strCache>
                <c:ptCount val="1"/>
                <c:pt idx="0">
                  <c:v>Salario Medio Anual</c:v>
                </c:pt>
              </c:strCache>
            </c:strRef>
          </c:tx>
          <c:cat>
            <c:strRef>
              <c:f>Hoja3!$A$60:$A$72</c:f>
              <c:strCache>
                <c:ptCount val="13"/>
                <c:pt idx="0">
                  <c:v>De 0 a 0,5 SMI</c:v>
                </c:pt>
                <c:pt idx="1">
                  <c:v>De 0,5 a 1 SMI</c:v>
                </c:pt>
                <c:pt idx="2">
                  <c:v>De 1 a 1,5 SMI</c:v>
                </c:pt>
                <c:pt idx="3">
                  <c:v>De 1,5 a 2 SMI</c:v>
                </c:pt>
                <c:pt idx="4">
                  <c:v>De 2 a 2,5 SMI</c:v>
                </c:pt>
                <c:pt idx="5">
                  <c:v>De 2,5 a 3 SMI</c:v>
                </c:pt>
                <c:pt idx="6">
                  <c:v>De 3 a 3,5 SMI</c:v>
                </c:pt>
                <c:pt idx="7">
                  <c:v>De 3,5 a 4 SMI</c:v>
                </c:pt>
                <c:pt idx="8">
                  <c:v>De 4 a 4,5 SMI</c:v>
                </c:pt>
                <c:pt idx="9">
                  <c:v>De 4,5 a 5 SMI</c:v>
                </c:pt>
                <c:pt idx="10">
                  <c:v>De 5 a 7,5 SMI</c:v>
                </c:pt>
                <c:pt idx="11">
                  <c:v>De 7,5 a 10 SMI</c:v>
                </c:pt>
                <c:pt idx="12">
                  <c:v>Más de 10 SMI</c:v>
                </c:pt>
              </c:strCache>
            </c:strRef>
          </c:cat>
          <c:val>
            <c:numRef>
              <c:f>Hoja3!$C$60:$C$72</c:f>
              <c:numCache>
                <c:formatCode>#,##0</c:formatCode>
                <c:ptCount val="13"/>
                <c:pt idx="0">
                  <c:v>-64</c:v>
                </c:pt>
                <c:pt idx="1">
                  <c:v>203</c:v>
                </c:pt>
                <c:pt idx="2">
                  <c:v>343</c:v>
                </c:pt>
                <c:pt idx="3">
                  <c:v>538</c:v>
                </c:pt>
                <c:pt idx="4">
                  <c:v>680</c:v>
                </c:pt>
                <c:pt idx="5">
                  <c:v>910</c:v>
                </c:pt>
                <c:pt idx="6">
                  <c:v>941</c:v>
                </c:pt>
                <c:pt idx="7">
                  <c:v>1113</c:v>
                </c:pt>
                <c:pt idx="8">
                  <c:v>1126</c:v>
                </c:pt>
                <c:pt idx="9">
                  <c:v>1382</c:v>
                </c:pt>
                <c:pt idx="10">
                  <c:v>2222</c:v>
                </c:pt>
                <c:pt idx="11">
                  <c:v>1934</c:v>
                </c:pt>
                <c:pt idx="12">
                  <c:v>11742</c:v>
                </c:pt>
              </c:numCache>
            </c:numRef>
          </c:val>
        </c:ser>
        <c:axId val="86070400"/>
        <c:axId val="86072320"/>
      </c:barChart>
      <c:catAx>
        <c:axId val="86070400"/>
        <c:scaling>
          <c:orientation val="minMax"/>
        </c:scaling>
        <c:axPos val="b"/>
        <c:tickLblPos val="nextTo"/>
        <c:crossAx val="86072320"/>
        <c:crosses val="autoZero"/>
        <c:auto val="1"/>
        <c:lblAlgn val="ctr"/>
        <c:lblOffset val="100"/>
      </c:catAx>
      <c:valAx>
        <c:axId val="86072320"/>
        <c:scaling>
          <c:orientation val="minMax"/>
        </c:scaling>
        <c:axPos val="l"/>
        <c:majorGridlines/>
        <c:numFmt formatCode="#,##0" sourceLinked="1"/>
        <c:tickLblPos val="nextTo"/>
        <c:crossAx val="86070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Hoja1!$N$37</c:f>
              <c:strCache>
                <c:ptCount val="1"/>
                <c:pt idx="0">
                  <c:v>Poboación parada</c:v>
                </c:pt>
              </c:strCache>
            </c:strRef>
          </c:tx>
          <c:cat>
            <c:numRef>
              <c:f>Hoja1!$O$36:$V$36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Hoja1!$O$37:$V$37</c:f>
              <c:numCache>
                <c:formatCode>General</c:formatCode>
                <c:ptCount val="8"/>
                <c:pt idx="0">
                  <c:v>114.7</c:v>
                </c:pt>
                <c:pt idx="1">
                  <c:v>165.9</c:v>
                </c:pt>
                <c:pt idx="2">
                  <c:v>199.9</c:v>
                </c:pt>
                <c:pt idx="3">
                  <c:v>227.2</c:v>
                </c:pt>
                <c:pt idx="4">
                  <c:v>270.5</c:v>
                </c:pt>
                <c:pt idx="5">
                  <c:v>284.60000000000002</c:v>
                </c:pt>
                <c:pt idx="6">
                  <c:v>275.8</c:v>
                </c:pt>
                <c:pt idx="7">
                  <c:v>243.4</c:v>
                </c:pt>
              </c:numCache>
            </c:numRef>
          </c:val>
        </c:ser>
        <c:axId val="85855232"/>
        <c:axId val="85885696"/>
      </c:barChart>
      <c:catAx>
        <c:axId val="85855232"/>
        <c:scaling>
          <c:orientation val="minMax"/>
        </c:scaling>
        <c:axPos val="b"/>
        <c:numFmt formatCode="General" sourceLinked="1"/>
        <c:tickLblPos val="nextTo"/>
        <c:crossAx val="85885696"/>
        <c:crosses val="autoZero"/>
        <c:auto val="1"/>
        <c:lblAlgn val="ctr"/>
        <c:lblOffset val="100"/>
      </c:catAx>
      <c:valAx>
        <c:axId val="85885696"/>
        <c:scaling>
          <c:orientation val="minMax"/>
        </c:scaling>
        <c:axPos val="l"/>
        <c:majorGridlines/>
        <c:numFmt formatCode="General" sourceLinked="1"/>
        <c:tickLblPos val="nextTo"/>
        <c:crossAx val="85855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Taxa de paro. 2015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Hoja1!$B$88</c:f>
              <c:strCache>
                <c:ptCount val="1"/>
                <c:pt idx="0">
                  <c:v>Taxa de paro</c:v>
                </c:pt>
              </c:strCache>
            </c:strRef>
          </c:tx>
          <c:cat>
            <c:strRef>
              <c:f>Hoja1!$A$89:$A$100</c:f>
              <c:strCache>
                <c:ptCount val="12"/>
                <c:pt idx="0">
                  <c:v>Media</c:v>
                </c:pt>
                <c:pt idx="1">
                  <c:v>de 16 a 19 anos</c:v>
                </c:pt>
                <c:pt idx="2">
                  <c:v>de 20 a 24 anos</c:v>
                </c:pt>
                <c:pt idx="3">
                  <c:v>de 25 a 29 anos</c:v>
                </c:pt>
                <c:pt idx="4">
                  <c:v>de 30 a 34 anos</c:v>
                </c:pt>
                <c:pt idx="5">
                  <c:v>de 35 a 39 anos</c:v>
                </c:pt>
                <c:pt idx="6">
                  <c:v>de 40 a 44 anos</c:v>
                </c:pt>
                <c:pt idx="7">
                  <c:v>de 45 a 49 anos</c:v>
                </c:pt>
                <c:pt idx="8">
                  <c:v>de 50 a 54 anos</c:v>
                </c:pt>
                <c:pt idx="9">
                  <c:v>de 55 a 59 anos</c:v>
                </c:pt>
                <c:pt idx="10">
                  <c:v>de 60 a 64 anos</c:v>
                </c:pt>
                <c:pt idx="11">
                  <c:v>de 65 e máis anos</c:v>
                </c:pt>
              </c:strCache>
            </c:strRef>
          </c:cat>
          <c:val>
            <c:numRef>
              <c:f>Hoja1!$B$89:$B$100</c:f>
              <c:numCache>
                <c:formatCode>General</c:formatCode>
                <c:ptCount val="12"/>
                <c:pt idx="0">
                  <c:v>19.3</c:v>
                </c:pt>
                <c:pt idx="1">
                  <c:v>63.7</c:v>
                </c:pt>
                <c:pt idx="2">
                  <c:v>40.6</c:v>
                </c:pt>
                <c:pt idx="3">
                  <c:v>27.4</c:v>
                </c:pt>
                <c:pt idx="4">
                  <c:v>21</c:v>
                </c:pt>
                <c:pt idx="5">
                  <c:v>17.2</c:v>
                </c:pt>
                <c:pt idx="6">
                  <c:v>17.600000000000001</c:v>
                </c:pt>
                <c:pt idx="7">
                  <c:v>16.899999999999999</c:v>
                </c:pt>
                <c:pt idx="8">
                  <c:v>16.3</c:v>
                </c:pt>
                <c:pt idx="9">
                  <c:v>15.8</c:v>
                </c:pt>
                <c:pt idx="10">
                  <c:v>12.2</c:v>
                </c:pt>
                <c:pt idx="11">
                  <c:v>1.8</c:v>
                </c:pt>
              </c:numCache>
            </c:numRef>
          </c:val>
        </c:ser>
        <c:axId val="85893504"/>
        <c:axId val="85895040"/>
      </c:barChart>
      <c:catAx>
        <c:axId val="85893504"/>
        <c:scaling>
          <c:orientation val="minMax"/>
        </c:scaling>
        <c:axPos val="b"/>
        <c:tickLblPos val="nextTo"/>
        <c:crossAx val="85895040"/>
        <c:crosses val="autoZero"/>
        <c:auto val="1"/>
        <c:lblAlgn val="ctr"/>
        <c:lblOffset val="100"/>
      </c:catAx>
      <c:valAx>
        <c:axId val="85895040"/>
        <c:scaling>
          <c:orientation val="minMax"/>
        </c:scaling>
        <c:axPos val="l"/>
        <c:majorGridlines/>
        <c:numFmt formatCode="General" sourceLinked="1"/>
        <c:tickLblPos val="nextTo"/>
        <c:crossAx val="85893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Porcentaxe de cobertura desemprego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Hoja1!$B$131</c:f>
              <c:strCache>
                <c:ptCount val="1"/>
                <c:pt idx="0">
                  <c:v>porcentaxe de cobertura desemprego</c:v>
                </c:pt>
              </c:strCache>
            </c:strRef>
          </c:tx>
          <c:cat>
            <c:numRef>
              <c:f>Hoja1!$A$132:$A$140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Hoja1!$B$132:$B$140</c:f>
              <c:numCache>
                <c:formatCode>General</c:formatCode>
                <c:ptCount val="9"/>
                <c:pt idx="0">
                  <c:v>52.7</c:v>
                </c:pt>
                <c:pt idx="1">
                  <c:v>58</c:v>
                </c:pt>
                <c:pt idx="2">
                  <c:v>63.2</c:v>
                </c:pt>
                <c:pt idx="3">
                  <c:v>66.099999999999994</c:v>
                </c:pt>
                <c:pt idx="4">
                  <c:v>60.9</c:v>
                </c:pt>
                <c:pt idx="5">
                  <c:v>58.6</c:v>
                </c:pt>
                <c:pt idx="6">
                  <c:v>56.3</c:v>
                </c:pt>
                <c:pt idx="7">
                  <c:v>52.4</c:v>
                </c:pt>
                <c:pt idx="8" formatCode="0.0">
                  <c:v>49.1</c:v>
                </c:pt>
              </c:numCache>
            </c:numRef>
          </c:val>
        </c:ser>
        <c:axId val="85919232"/>
        <c:axId val="85920768"/>
      </c:barChart>
      <c:catAx>
        <c:axId val="85919232"/>
        <c:scaling>
          <c:orientation val="minMax"/>
        </c:scaling>
        <c:axPos val="b"/>
        <c:numFmt formatCode="General" sourceLinked="1"/>
        <c:tickLblPos val="nextTo"/>
        <c:crossAx val="85920768"/>
        <c:crosses val="autoZero"/>
        <c:auto val="1"/>
        <c:lblAlgn val="ctr"/>
        <c:lblOffset val="100"/>
      </c:catAx>
      <c:valAx>
        <c:axId val="85920768"/>
        <c:scaling>
          <c:orientation val="minMax"/>
          <c:max val="70"/>
          <c:min val="30"/>
        </c:scaling>
        <c:axPos val="l"/>
        <c:majorGridlines/>
        <c:numFmt formatCode="General" sourceLinked="1"/>
        <c:tickLblPos val="nextTo"/>
        <c:crossAx val="85919232"/>
        <c:crosses val="autoZero"/>
        <c:crossBetween val="between"/>
        <c:majorUnit val="10"/>
        <c:minorUnit val="2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plotArea>
      <c:layout/>
      <c:lineChart>
        <c:grouping val="standard"/>
        <c:ser>
          <c:idx val="0"/>
          <c:order val="0"/>
          <c:tx>
            <c:strRef>
              <c:f>Hoja1!$A$15</c:f>
              <c:strCache>
                <c:ptCount val="1"/>
                <c:pt idx="0">
                  <c:v>Afiliación</c:v>
                </c:pt>
              </c:strCache>
            </c:strRef>
          </c:tx>
          <c:marker>
            <c:symbol val="none"/>
          </c:marker>
          <c:cat>
            <c:numRef>
              <c:f>Hoja1!$B$14:$I$14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Hoja1!$B$15:$I$15</c:f>
              <c:numCache>
                <c:formatCode>#,##0</c:formatCode>
                <c:ptCount val="8"/>
                <c:pt idx="0">
                  <c:v>1077918</c:v>
                </c:pt>
                <c:pt idx="1">
                  <c:v>1034468</c:v>
                </c:pt>
                <c:pt idx="2">
                  <c:v>1012789</c:v>
                </c:pt>
                <c:pt idx="3">
                  <c:v>985950</c:v>
                </c:pt>
                <c:pt idx="4">
                  <c:v>946229</c:v>
                </c:pt>
                <c:pt idx="5">
                  <c:v>917355</c:v>
                </c:pt>
                <c:pt idx="6">
                  <c:v>921838</c:v>
                </c:pt>
                <c:pt idx="7">
                  <c:v>940830</c:v>
                </c:pt>
              </c:numCache>
            </c:numRef>
          </c:val>
        </c:ser>
        <c:marker val="1"/>
        <c:axId val="91301760"/>
        <c:axId val="95426816"/>
      </c:lineChart>
      <c:catAx>
        <c:axId val="91301760"/>
        <c:scaling>
          <c:orientation val="minMax"/>
        </c:scaling>
        <c:axPos val="b"/>
        <c:numFmt formatCode="General" sourceLinked="1"/>
        <c:tickLblPos val="nextTo"/>
        <c:crossAx val="95426816"/>
        <c:crosses val="autoZero"/>
        <c:auto val="1"/>
        <c:lblAlgn val="ctr"/>
        <c:lblOffset val="100"/>
      </c:catAx>
      <c:valAx>
        <c:axId val="95426816"/>
        <c:scaling>
          <c:orientation val="minMax"/>
        </c:scaling>
        <c:axPos val="l"/>
        <c:majorGridlines/>
        <c:numFmt formatCode="#,##0" sourceLinked="1"/>
        <c:tickLblPos val="nextTo"/>
        <c:crossAx val="91301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6112113723010887"/>
          <c:y val="5.8661273898139812E-2"/>
          <c:w val="0.70681073624921065"/>
          <c:h val="0.74290234212526718"/>
        </c:manualLayout>
      </c:layout>
      <c:lineChart>
        <c:grouping val="standard"/>
        <c:ser>
          <c:idx val="0"/>
          <c:order val="0"/>
          <c:tx>
            <c:strRef>
              <c:f>Hoja1!$B$117</c:f>
              <c:strCache>
                <c:ptCount val="1"/>
                <c:pt idx="0">
                  <c:v>2008</c:v>
                </c:pt>
              </c:strCache>
            </c:strRef>
          </c:tx>
          <c:marker>
            <c:symbol val="none"/>
          </c:marker>
          <c:cat>
            <c:strRef>
              <c:f>Hoja1!$A$118:$A$129</c:f>
              <c:strCache>
                <c:ptCount val="12"/>
                <c:pt idx="0">
                  <c:v>Xaneiro</c:v>
                </c:pt>
                <c:pt idx="1">
                  <c:v>Febreiro</c:v>
                </c:pt>
                <c:pt idx="2">
                  <c:v>Marzo</c:v>
                </c:pt>
                <c:pt idx="3">
                  <c:v>Abril</c:v>
                </c:pt>
                <c:pt idx="4">
                  <c:v>Maio</c:v>
                </c:pt>
                <c:pt idx="5">
                  <c:v>Xuño</c:v>
                </c:pt>
                <c:pt idx="6">
                  <c:v>Xullo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Decembro</c:v>
                </c:pt>
              </c:strCache>
            </c:strRef>
          </c:cat>
          <c:val>
            <c:numRef>
              <c:f>Hoja1!$B$118:$B$129</c:f>
              <c:numCache>
                <c:formatCode>#,##0</c:formatCode>
                <c:ptCount val="12"/>
                <c:pt idx="0">
                  <c:v>161162</c:v>
                </c:pt>
                <c:pt idx="1">
                  <c:v>161828</c:v>
                </c:pt>
                <c:pt idx="2">
                  <c:v>160180</c:v>
                </c:pt>
                <c:pt idx="3">
                  <c:v>159749</c:v>
                </c:pt>
                <c:pt idx="4">
                  <c:v>156779</c:v>
                </c:pt>
                <c:pt idx="5">
                  <c:v>152708</c:v>
                </c:pt>
                <c:pt idx="6">
                  <c:v>149318</c:v>
                </c:pt>
                <c:pt idx="7">
                  <c:v>152437</c:v>
                </c:pt>
                <c:pt idx="8">
                  <c:v>156834</c:v>
                </c:pt>
                <c:pt idx="9">
                  <c:v>168423</c:v>
                </c:pt>
                <c:pt idx="10">
                  <c:v>180820</c:v>
                </c:pt>
                <c:pt idx="11">
                  <c:v>189903</c:v>
                </c:pt>
              </c:numCache>
            </c:numRef>
          </c:val>
        </c:ser>
        <c:ser>
          <c:idx val="1"/>
          <c:order val="1"/>
          <c:tx>
            <c:strRef>
              <c:f>Hoja1!$C$117</c:f>
              <c:strCache>
                <c:ptCount val="1"/>
                <c:pt idx="0">
                  <c:v>2009</c:v>
                </c:pt>
              </c:strCache>
            </c:strRef>
          </c:tx>
          <c:marker>
            <c:symbol val="none"/>
          </c:marker>
          <c:cat>
            <c:strRef>
              <c:f>Hoja1!$A$118:$A$129</c:f>
              <c:strCache>
                <c:ptCount val="12"/>
                <c:pt idx="0">
                  <c:v>Xaneiro</c:v>
                </c:pt>
                <c:pt idx="1">
                  <c:v>Febreiro</c:v>
                </c:pt>
                <c:pt idx="2">
                  <c:v>Marzo</c:v>
                </c:pt>
                <c:pt idx="3">
                  <c:v>Abril</c:v>
                </c:pt>
                <c:pt idx="4">
                  <c:v>Maio</c:v>
                </c:pt>
                <c:pt idx="5">
                  <c:v>Xuño</c:v>
                </c:pt>
                <c:pt idx="6">
                  <c:v>Xullo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Decembro</c:v>
                </c:pt>
              </c:strCache>
            </c:strRef>
          </c:cat>
          <c:val>
            <c:numRef>
              <c:f>Hoja1!$C$118:$C$129</c:f>
              <c:numCache>
                <c:formatCode>#,##0</c:formatCode>
                <c:ptCount val="12"/>
                <c:pt idx="0">
                  <c:v>201316</c:v>
                </c:pt>
                <c:pt idx="1">
                  <c:v>206570</c:v>
                </c:pt>
                <c:pt idx="2">
                  <c:v>211484</c:v>
                </c:pt>
                <c:pt idx="3">
                  <c:v>210662</c:v>
                </c:pt>
                <c:pt idx="4">
                  <c:v>207518</c:v>
                </c:pt>
                <c:pt idx="5">
                  <c:v>200240</c:v>
                </c:pt>
                <c:pt idx="6">
                  <c:v>192859</c:v>
                </c:pt>
                <c:pt idx="7">
                  <c:v>195241</c:v>
                </c:pt>
                <c:pt idx="8">
                  <c:v>200465</c:v>
                </c:pt>
                <c:pt idx="9">
                  <c:v>208923</c:v>
                </c:pt>
                <c:pt idx="10">
                  <c:v>216828</c:v>
                </c:pt>
                <c:pt idx="11">
                  <c:v>222839</c:v>
                </c:pt>
              </c:numCache>
            </c:numRef>
          </c:val>
        </c:ser>
        <c:ser>
          <c:idx val="2"/>
          <c:order val="2"/>
          <c:tx>
            <c:strRef>
              <c:f>Hoja1!$D$117</c:f>
              <c:strCache>
                <c:ptCount val="1"/>
                <c:pt idx="0">
                  <c:v>2010</c:v>
                </c:pt>
              </c:strCache>
            </c:strRef>
          </c:tx>
          <c:marker>
            <c:symbol val="none"/>
          </c:marker>
          <c:cat>
            <c:strRef>
              <c:f>Hoja1!$A$118:$A$129</c:f>
              <c:strCache>
                <c:ptCount val="12"/>
                <c:pt idx="0">
                  <c:v>Xaneiro</c:v>
                </c:pt>
                <c:pt idx="1">
                  <c:v>Febreiro</c:v>
                </c:pt>
                <c:pt idx="2">
                  <c:v>Marzo</c:v>
                </c:pt>
                <c:pt idx="3">
                  <c:v>Abril</c:v>
                </c:pt>
                <c:pt idx="4">
                  <c:v>Maio</c:v>
                </c:pt>
                <c:pt idx="5">
                  <c:v>Xuño</c:v>
                </c:pt>
                <c:pt idx="6">
                  <c:v>Xullo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Decembro</c:v>
                </c:pt>
              </c:strCache>
            </c:strRef>
          </c:cat>
          <c:val>
            <c:numRef>
              <c:f>Hoja1!$D$118:$D$129</c:f>
              <c:numCache>
                <c:formatCode>#,##0</c:formatCode>
                <c:ptCount val="12"/>
                <c:pt idx="0">
                  <c:v>231628</c:v>
                </c:pt>
                <c:pt idx="1">
                  <c:v>234171</c:v>
                </c:pt>
                <c:pt idx="2">
                  <c:v>236449</c:v>
                </c:pt>
                <c:pt idx="3">
                  <c:v>233916</c:v>
                </c:pt>
                <c:pt idx="4">
                  <c:v>228507</c:v>
                </c:pt>
                <c:pt idx="5">
                  <c:v>219825</c:v>
                </c:pt>
                <c:pt idx="6">
                  <c:v>209789</c:v>
                </c:pt>
                <c:pt idx="7">
                  <c:v>211532</c:v>
                </c:pt>
                <c:pt idx="8">
                  <c:v>216095</c:v>
                </c:pt>
                <c:pt idx="9">
                  <c:v>223894</c:v>
                </c:pt>
                <c:pt idx="10">
                  <c:v>231721</c:v>
                </c:pt>
                <c:pt idx="11">
                  <c:v>237313</c:v>
                </c:pt>
              </c:numCache>
            </c:numRef>
          </c:val>
        </c:ser>
        <c:ser>
          <c:idx val="3"/>
          <c:order val="3"/>
          <c:tx>
            <c:strRef>
              <c:f>Hoja1!$E$117</c:f>
              <c:strCache>
                <c:ptCount val="1"/>
                <c:pt idx="0">
                  <c:v>2011</c:v>
                </c:pt>
              </c:strCache>
            </c:strRef>
          </c:tx>
          <c:marker>
            <c:symbol val="none"/>
          </c:marker>
          <c:cat>
            <c:strRef>
              <c:f>Hoja1!$A$118:$A$129</c:f>
              <c:strCache>
                <c:ptCount val="12"/>
                <c:pt idx="0">
                  <c:v>Xaneiro</c:v>
                </c:pt>
                <c:pt idx="1">
                  <c:v>Febreiro</c:v>
                </c:pt>
                <c:pt idx="2">
                  <c:v>Marzo</c:v>
                </c:pt>
                <c:pt idx="3">
                  <c:v>Abril</c:v>
                </c:pt>
                <c:pt idx="4">
                  <c:v>Maio</c:v>
                </c:pt>
                <c:pt idx="5">
                  <c:v>Xuño</c:v>
                </c:pt>
                <c:pt idx="6">
                  <c:v>Xullo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Decembro</c:v>
                </c:pt>
              </c:strCache>
            </c:strRef>
          </c:cat>
          <c:val>
            <c:numRef>
              <c:f>Hoja1!$E$118:$E$129</c:f>
              <c:numCache>
                <c:formatCode>#,##0</c:formatCode>
                <c:ptCount val="12"/>
                <c:pt idx="0">
                  <c:v>245831</c:v>
                </c:pt>
                <c:pt idx="1">
                  <c:v>248279</c:v>
                </c:pt>
                <c:pt idx="2">
                  <c:v>249246</c:v>
                </c:pt>
                <c:pt idx="3">
                  <c:v>244662</c:v>
                </c:pt>
                <c:pt idx="4">
                  <c:v>240014</c:v>
                </c:pt>
                <c:pt idx="5">
                  <c:v>233557</c:v>
                </c:pt>
                <c:pt idx="6">
                  <c:v>223000</c:v>
                </c:pt>
                <c:pt idx="7">
                  <c:v>224582</c:v>
                </c:pt>
                <c:pt idx="8">
                  <c:v>232918</c:v>
                </c:pt>
                <c:pt idx="9">
                  <c:v>242142</c:v>
                </c:pt>
                <c:pt idx="10">
                  <c:v>253416</c:v>
                </c:pt>
                <c:pt idx="11">
                  <c:v>258234</c:v>
                </c:pt>
              </c:numCache>
            </c:numRef>
          </c:val>
        </c:ser>
        <c:ser>
          <c:idx val="4"/>
          <c:order val="4"/>
          <c:tx>
            <c:strRef>
              <c:f>Hoja1!$F$117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Hoja1!$A$118:$A$129</c:f>
              <c:strCache>
                <c:ptCount val="12"/>
                <c:pt idx="0">
                  <c:v>Xaneiro</c:v>
                </c:pt>
                <c:pt idx="1">
                  <c:v>Febreiro</c:v>
                </c:pt>
                <c:pt idx="2">
                  <c:v>Marzo</c:v>
                </c:pt>
                <c:pt idx="3">
                  <c:v>Abril</c:v>
                </c:pt>
                <c:pt idx="4">
                  <c:v>Maio</c:v>
                </c:pt>
                <c:pt idx="5">
                  <c:v>Xuño</c:v>
                </c:pt>
                <c:pt idx="6">
                  <c:v>Xullo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Decembro</c:v>
                </c:pt>
              </c:strCache>
            </c:strRef>
          </c:cat>
          <c:val>
            <c:numRef>
              <c:f>Hoja1!$F$118:$F$129</c:f>
              <c:numCache>
                <c:formatCode>#,##0</c:formatCode>
                <c:ptCount val="12"/>
                <c:pt idx="0">
                  <c:v>271284</c:v>
                </c:pt>
                <c:pt idx="1">
                  <c:v>274675</c:v>
                </c:pt>
                <c:pt idx="2">
                  <c:v>276795</c:v>
                </c:pt>
                <c:pt idx="3">
                  <c:v>277644</c:v>
                </c:pt>
                <c:pt idx="4">
                  <c:v>276608</c:v>
                </c:pt>
                <c:pt idx="5">
                  <c:v>269203</c:v>
                </c:pt>
                <c:pt idx="6">
                  <c:v>260198</c:v>
                </c:pt>
                <c:pt idx="7">
                  <c:v>257267</c:v>
                </c:pt>
                <c:pt idx="8">
                  <c:v>259373</c:v>
                </c:pt>
                <c:pt idx="9">
                  <c:v>267812</c:v>
                </c:pt>
                <c:pt idx="10">
                  <c:v>276536</c:v>
                </c:pt>
                <c:pt idx="11">
                  <c:v>278787</c:v>
                </c:pt>
              </c:numCache>
            </c:numRef>
          </c:val>
        </c:ser>
        <c:ser>
          <c:idx val="5"/>
          <c:order val="5"/>
          <c:tx>
            <c:strRef>
              <c:f>Hoja1!$G$117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Hoja1!$A$118:$A$129</c:f>
              <c:strCache>
                <c:ptCount val="12"/>
                <c:pt idx="0">
                  <c:v>Xaneiro</c:v>
                </c:pt>
                <c:pt idx="1">
                  <c:v>Febreiro</c:v>
                </c:pt>
                <c:pt idx="2">
                  <c:v>Marzo</c:v>
                </c:pt>
                <c:pt idx="3">
                  <c:v>Abril</c:v>
                </c:pt>
                <c:pt idx="4">
                  <c:v>Maio</c:v>
                </c:pt>
                <c:pt idx="5">
                  <c:v>Xuño</c:v>
                </c:pt>
                <c:pt idx="6">
                  <c:v>Xullo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Decembro</c:v>
                </c:pt>
              </c:strCache>
            </c:strRef>
          </c:cat>
          <c:val>
            <c:numRef>
              <c:f>Hoja1!$G$118:$G$129</c:f>
              <c:numCache>
                <c:formatCode>#,##0</c:formatCode>
                <c:ptCount val="12"/>
                <c:pt idx="0">
                  <c:v>290790</c:v>
                </c:pt>
                <c:pt idx="1">
                  <c:v>292823</c:v>
                </c:pt>
                <c:pt idx="2">
                  <c:v>291187</c:v>
                </c:pt>
                <c:pt idx="3">
                  <c:v>290459</c:v>
                </c:pt>
                <c:pt idx="4">
                  <c:v>283886</c:v>
                </c:pt>
                <c:pt idx="5">
                  <c:v>273434</c:v>
                </c:pt>
                <c:pt idx="6">
                  <c:v>261102</c:v>
                </c:pt>
                <c:pt idx="7">
                  <c:v>257524</c:v>
                </c:pt>
                <c:pt idx="8">
                  <c:v>260733</c:v>
                </c:pt>
                <c:pt idx="9">
                  <c:v>268225</c:v>
                </c:pt>
                <c:pt idx="10">
                  <c:v>270854</c:v>
                </c:pt>
                <c:pt idx="11">
                  <c:v>271063</c:v>
                </c:pt>
              </c:numCache>
            </c:numRef>
          </c:val>
        </c:ser>
        <c:ser>
          <c:idx val="6"/>
          <c:order val="6"/>
          <c:tx>
            <c:strRef>
              <c:f>Hoja1!$H$117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Hoja1!$A$118:$A$129</c:f>
              <c:strCache>
                <c:ptCount val="12"/>
                <c:pt idx="0">
                  <c:v>Xaneiro</c:v>
                </c:pt>
                <c:pt idx="1">
                  <c:v>Febreiro</c:v>
                </c:pt>
                <c:pt idx="2">
                  <c:v>Marzo</c:v>
                </c:pt>
                <c:pt idx="3">
                  <c:v>Abril</c:v>
                </c:pt>
                <c:pt idx="4">
                  <c:v>Maio</c:v>
                </c:pt>
                <c:pt idx="5">
                  <c:v>Xuño</c:v>
                </c:pt>
                <c:pt idx="6">
                  <c:v>Xullo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Decembro</c:v>
                </c:pt>
              </c:strCache>
            </c:strRef>
          </c:cat>
          <c:val>
            <c:numRef>
              <c:f>Hoja1!$H$118:$H$129</c:f>
              <c:numCache>
                <c:formatCode>#,##0</c:formatCode>
                <c:ptCount val="12"/>
                <c:pt idx="0">
                  <c:v>281077</c:v>
                </c:pt>
                <c:pt idx="1">
                  <c:v>280071</c:v>
                </c:pt>
                <c:pt idx="2">
                  <c:v>276463</c:v>
                </c:pt>
                <c:pt idx="3">
                  <c:v>270144</c:v>
                </c:pt>
                <c:pt idx="4">
                  <c:v>263444</c:v>
                </c:pt>
                <c:pt idx="5">
                  <c:v>252310</c:v>
                </c:pt>
                <c:pt idx="6">
                  <c:v>240279</c:v>
                </c:pt>
                <c:pt idx="7">
                  <c:v>236939</c:v>
                </c:pt>
                <c:pt idx="8">
                  <c:v>238203</c:v>
                </c:pt>
                <c:pt idx="9">
                  <c:v>244044</c:v>
                </c:pt>
                <c:pt idx="10">
                  <c:v>248632</c:v>
                </c:pt>
                <c:pt idx="11">
                  <c:v>251981</c:v>
                </c:pt>
              </c:numCache>
            </c:numRef>
          </c:val>
        </c:ser>
        <c:ser>
          <c:idx val="7"/>
          <c:order val="7"/>
          <c:tx>
            <c:strRef>
              <c:f>Hoja1!$I$117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cat>
            <c:strRef>
              <c:f>Hoja1!$A$118:$A$129</c:f>
              <c:strCache>
                <c:ptCount val="12"/>
                <c:pt idx="0">
                  <c:v>Xaneiro</c:v>
                </c:pt>
                <c:pt idx="1">
                  <c:v>Febreiro</c:v>
                </c:pt>
                <c:pt idx="2">
                  <c:v>Marzo</c:v>
                </c:pt>
                <c:pt idx="3">
                  <c:v>Abril</c:v>
                </c:pt>
                <c:pt idx="4">
                  <c:v>Maio</c:v>
                </c:pt>
                <c:pt idx="5">
                  <c:v>Xuño</c:v>
                </c:pt>
                <c:pt idx="6">
                  <c:v>Xullo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Decembro</c:v>
                </c:pt>
              </c:strCache>
            </c:strRef>
          </c:cat>
          <c:val>
            <c:numRef>
              <c:f>Hoja1!$I$118:$I$129</c:f>
              <c:numCache>
                <c:formatCode>#,##0</c:formatCode>
                <c:ptCount val="12"/>
                <c:pt idx="0">
                  <c:v>259002</c:v>
                </c:pt>
                <c:pt idx="1">
                  <c:v>257549</c:v>
                </c:pt>
                <c:pt idx="2">
                  <c:v>252137</c:v>
                </c:pt>
                <c:pt idx="3">
                  <c:v>244761</c:v>
                </c:pt>
                <c:pt idx="4">
                  <c:v>236981</c:v>
                </c:pt>
                <c:pt idx="5">
                  <c:v>229062</c:v>
                </c:pt>
                <c:pt idx="6">
                  <c:v>216371</c:v>
                </c:pt>
                <c:pt idx="7">
                  <c:v>213732</c:v>
                </c:pt>
                <c:pt idx="8">
                  <c:v>215737</c:v>
                </c:pt>
                <c:pt idx="9">
                  <c:v>222092</c:v>
                </c:pt>
                <c:pt idx="10">
                  <c:v>225158</c:v>
                </c:pt>
                <c:pt idx="11">
                  <c:v>228808</c:v>
                </c:pt>
              </c:numCache>
            </c:numRef>
          </c:val>
        </c:ser>
        <c:marker val="1"/>
        <c:axId val="80236928"/>
        <c:axId val="80238464"/>
      </c:lineChart>
      <c:catAx>
        <c:axId val="80236928"/>
        <c:scaling>
          <c:orientation val="minMax"/>
        </c:scaling>
        <c:axPos val="b"/>
        <c:tickLblPos val="nextTo"/>
        <c:crossAx val="80238464"/>
        <c:crosses val="autoZero"/>
        <c:auto val="1"/>
        <c:lblAlgn val="ctr"/>
        <c:lblOffset val="100"/>
      </c:catAx>
      <c:valAx>
        <c:axId val="80238464"/>
        <c:scaling>
          <c:orientation val="minMax"/>
        </c:scaling>
        <c:axPos val="l"/>
        <c:majorGridlines/>
        <c:numFmt formatCode="#,##0" sourceLinked="1"/>
        <c:tickLblPos val="nextTo"/>
        <c:crossAx val="80236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col"/>
        <c:grouping val="clustered"/>
        <c:ser>
          <c:idx val="0"/>
          <c:order val="0"/>
          <c:tx>
            <c:strRef>
              <c:f>Hoja1!$A$233</c:f>
              <c:strCache>
                <c:ptCount val="1"/>
                <c:pt idx="0">
                  <c:v>Temporais</c:v>
                </c:pt>
              </c:strCache>
            </c:strRef>
          </c:tx>
          <c:cat>
            <c:numRef>
              <c:f>Hoja1!$B$232:$J$232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Hoja1!$B$233:$J$233</c:f>
              <c:numCache>
                <c:formatCode>#,##0</c:formatCode>
                <c:ptCount val="9"/>
                <c:pt idx="0">
                  <c:v>765924</c:v>
                </c:pt>
                <c:pt idx="1">
                  <c:v>706093</c:v>
                </c:pt>
                <c:pt idx="2">
                  <c:v>616089</c:v>
                </c:pt>
                <c:pt idx="3">
                  <c:v>620612</c:v>
                </c:pt>
                <c:pt idx="4">
                  <c:v>617807</c:v>
                </c:pt>
                <c:pt idx="5" formatCode="General">
                  <c:v>610236</c:v>
                </c:pt>
                <c:pt idx="6" formatCode="General">
                  <c:v>653313</c:v>
                </c:pt>
                <c:pt idx="7" formatCode="General">
                  <c:v>724404</c:v>
                </c:pt>
                <c:pt idx="8" formatCode="General">
                  <c:v>813088</c:v>
                </c:pt>
              </c:numCache>
            </c:numRef>
          </c:val>
        </c:ser>
        <c:ser>
          <c:idx val="1"/>
          <c:order val="1"/>
          <c:tx>
            <c:strRef>
              <c:f>Hoja1!$A$234</c:f>
              <c:strCache>
                <c:ptCount val="1"/>
                <c:pt idx="0">
                  <c:v>Indefinidos iniciais</c:v>
                </c:pt>
              </c:strCache>
            </c:strRef>
          </c:tx>
          <c:cat>
            <c:numRef>
              <c:f>Hoja1!$B$232:$J$232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Hoja1!$B$234:$J$234</c:f>
              <c:numCache>
                <c:formatCode>#,##0</c:formatCode>
                <c:ptCount val="9"/>
                <c:pt idx="0">
                  <c:v>49542</c:v>
                </c:pt>
                <c:pt idx="1">
                  <c:v>46423</c:v>
                </c:pt>
                <c:pt idx="2">
                  <c:v>37468</c:v>
                </c:pt>
                <c:pt idx="3">
                  <c:v>32460</c:v>
                </c:pt>
                <c:pt idx="4">
                  <c:v>28479</c:v>
                </c:pt>
                <c:pt idx="5" formatCode="General">
                  <c:v>30509</c:v>
                </c:pt>
                <c:pt idx="6" formatCode="General">
                  <c:v>31194</c:v>
                </c:pt>
                <c:pt idx="7" formatCode="General">
                  <c:v>39709</c:v>
                </c:pt>
                <c:pt idx="8" formatCode="General">
                  <c:v>40672</c:v>
                </c:pt>
              </c:numCache>
            </c:numRef>
          </c:val>
        </c:ser>
        <c:ser>
          <c:idx val="2"/>
          <c:order val="2"/>
          <c:tx>
            <c:strRef>
              <c:f>Hoja1!$A$235</c:f>
              <c:strCache>
                <c:ptCount val="1"/>
                <c:pt idx="0">
                  <c:v>Convertidos en indefinidos</c:v>
                </c:pt>
              </c:strCache>
            </c:strRef>
          </c:tx>
          <c:cat>
            <c:numRef>
              <c:f>Hoja1!$B$232:$J$232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Hoja1!$B$235:$J$235</c:f>
              <c:numCache>
                <c:formatCode>General</c:formatCode>
                <c:ptCount val="9"/>
                <c:pt idx="0">
                  <c:v>49166</c:v>
                </c:pt>
                <c:pt idx="1">
                  <c:v>41654</c:v>
                </c:pt>
                <c:pt idx="2">
                  <c:v>29574</c:v>
                </c:pt>
                <c:pt idx="3">
                  <c:v>27552</c:v>
                </c:pt>
                <c:pt idx="4">
                  <c:v>25163</c:v>
                </c:pt>
                <c:pt idx="5">
                  <c:v>21583</c:v>
                </c:pt>
                <c:pt idx="6">
                  <c:v>22271</c:v>
                </c:pt>
                <c:pt idx="7">
                  <c:v>22077</c:v>
                </c:pt>
                <c:pt idx="8">
                  <c:v>24167</c:v>
                </c:pt>
              </c:numCache>
            </c:numRef>
          </c:val>
        </c:ser>
        <c:axId val="81312384"/>
        <c:axId val="81346944"/>
      </c:barChart>
      <c:catAx>
        <c:axId val="81312384"/>
        <c:scaling>
          <c:orientation val="minMax"/>
        </c:scaling>
        <c:axPos val="b"/>
        <c:numFmt formatCode="General" sourceLinked="1"/>
        <c:tickLblPos val="nextTo"/>
        <c:crossAx val="81346944"/>
        <c:crosses val="autoZero"/>
        <c:auto val="1"/>
        <c:lblAlgn val="ctr"/>
        <c:lblOffset val="100"/>
      </c:catAx>
      <c:valAx>
        <c:axId val="81346944"/>
        <c:scaling>
          <c:orientation val="minMax"/>
        </c:scaling>
        <c:axPos val="l"/>
        <c:majorGridlines/>
        <c:numFmt formatCode="#,##0" sourceLinked="1"/>
        <c:tickLblPos val="nextTo"/>
        <c:crossAx val="81312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col"/>
        <c:grouping val="clustered"/>
        <c:ser>
          <c:idx val="0"/>
          <c:order val="0"/>
          <c:tx>
            <c:strRef>
              <c:f>Hoja1!$S$338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Hoja1!$R$339:$R$344</c:f>
              <c:strCache>
                <c:ptCount val="6"/>
                <c:pt idx="0">
                  <c:v>   Menos de 1 semana</c:v>
                </c:pt>
                <c:pt idx="1">
                  <c:v>   De 1 semana a 1 mes</c:v>
                </c:pt>
                <c:pt idx="2">
                  <c:v>   De 1 a 6 meses</c:v>
                </c:pt>
                <c:pt idx="3">
                  <c:v>   De 6 meses a 1 ano</c:v>
                </c:pt>
                <c:pt idx="4">
                  <c:v>   Máis de 1 ano</c:v>
                </c:pt>
                <c:pt idx="5">
                  <c:v>   Indeterminado</c:v>
                </c:pt>
              </c:strCache>
            </c:strRef>
          </c:cat>
          <c:val>
            <c:numRef>
              <c:f>Hoja1!$S$339:$S$344</c:f>
              <c:numCache>
                <c:formatCode>#,##0</c:formatCode>
                <c:ptCount val="6"/>
                <c:pt idx="0">
                  <c:v>235208</c:v>
                </c:pt>
                <c:pt idx="1">
                  <c:v>88761</c:v>
                </c:pt>
                <c:pt idx="2">
                  <c:v>129750</c:v>
                </c:pt>
                <c:pt idx="3">
                  <c:v>21520</c:v>
                </c:pt>
                <c:pt idx="4">
                  <c:v>3099</c:v>
                </c:pt>
                <c:pt idx="5">
                  <c:v>263603</c:v>
                </c:pt>
              </c:numCache>
            </c:numRef>
          </c:val>
        </c:ser>
        <c:ser>
          <c:idx val="1"/>
          <c:order val="1"/>
          <c:tx>
            <c:strRef>
              <c:f>Hoja1!$T$338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Hoja1!$R$339:$R$344</c:f>
              <c:strCache>
                <c:ptCount val="6"/>
                <c:pt idx="0">
                  <c:v>   Menos de 1 semana</c:v>
                </c:pt>
                <c:pt idx="1">
                  <c:v>   De 1 semana a 1 mes</c:v>
                </c:pt>
                <c:pt idx="2">
                  <c:v>   De 1 a 6 meses</c:v>
                </c:pt>
                <c:pt idx="3">
                  <c:v>   De 6 meses a 1 ano</c:v>
                </c:pt>
                <c:pt idx="4">
                  <c:v>   Máis de 1 ano</c:v>
                </c:pt>
                <c:pt idx="5">
                  <c:v>   Indeterminado</c:v>
                </c:pt>
              </c:strCache>
            </c:strRef>
          </c:cat>
          <c:val>
            <c:numRef>
              <c:f>Hoja1!$T$339:$T$344</c:f>
              <c:numCache>
                <c:formatCode>#,##0</c:formatCode>
                <c:ptCount val="6"/>
                <c:pt idx="0">
                  <c:v>268941</c:v>
                </c:pt>
                <c:pt idx="1">
                  <c:v>95114</c:v>
                </c:pt>
                <c:pt idx="2">
                  <c:v>148153</c:v>
                </c:pt>
                <c:pt idx="3">
                  <c:v>24422</c:v>
                </c:pt>
                <c:pt idx="4">
                  <c:v>2730</c:v>
                </c:pt>
                <c:pt idx="5">
                  <c:v>292623</c:v>
                </c:pt>
              </c:numCache>
            </c:numRef>
          </c:val>
        </c:ser>
        <c:axId val="81363328"/>
        <c:axId val="81364864"/>
      </c:barChart>
      <c:catAx>
        <c:axId val="81363328"/>
        <c:scaling>
          <c:orientation val="minMax"/>
        </c:scaling>
        <c:axPos val="b"/>
        <c:tickLblPos val="nextTo"/>
        <c:crossAx val="81364864"/>
        <c:crosses val="autoZero"/>
        <c:auto val="1"/>
        <c:lblAlgn val="ctr"/>
        <c:lblOffset val="100"/>
      </c:catAx>
      <c:valAx>
        <c:axId val="81364864"/>
        <c:scaling>
          <c:orientation val="minMax"/>
        </c:scaling>
        <c:axPos val="l"/>
        <c:majorGridlines/>
        <c:numFmt formatCode="#,##0" sourceLinked="1"/>
        <c:tickLblPos val="nextTo"/>
        <c:crossAx val="81363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Hoja1!$A$6</c:f>
              <c:strCache>
                <c:ptCount val="1"/>
                <c:pt idx="0">
                  <c:v>Pob. maior de 16 anos</c:v>
                </c:pt>
              </c:strCache>
            </c:strRef>
          </c:tx>
          <c:cat>
            <c:numRef>
              <c:f>Hoja1!$B$5:$I$5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Hoja1!$B$6:$I$6</c:f>
              <c:numCache>
                <c:formatCode>General</c:formatCode>
                <c:ptCount val="8"/>
                <c:pt idx="0">
                  <c:v>2387.6</c:v>
                </c:pt>
                <c:pt idx="1">
                  <c:v>2386.1999999999998</c:v>
                </c:pt>
                <c:pt idx="2" formatCode="#,##0.00">
                  <c:v>2406.9</c:v>
                </c:pt>
                <c:pt idx="3" formatCode="#,##0.00">
                  <c:v>2403.5</c:v>
                </c:pt>
                <c:pt idx="4" formatCode="#,##0.00">
                  <c:v>2395.1999999999998</c:v>
                </c:pt>
                <c:pt idx="5" formatCode="#,##0.00">
                  <c:v>2382.3000000000002</c:v>
                </c:pt>
                <c:pt idx="6" formatCode="#,##0.00">
                  <c:v>2368.6</c:v>
                </c:pt>
                <c:pt idx="7" formatCode="#,##0.00">
                  <c:v>2358.1999999999998</c:v>
                </c:pt>
              </c:numCache>
            </c:numRef>
          </c:val>
        </c:ser>
        <c:axId val="81376384"/>
        <c:axId val="81377920"/>
      </c:barChart>
      <c:catAx>
        <c:axId val="81376384"/>
        <c:scaling>
          <c:orientation val="minMax"/>
        </c:scaling>
        <c:axPos val="b"/>
        <c:numFmt formatCode="General" sourceLinked="1"/>
        <c:tickLblPos val="nextTo"/>
        <c:crossAx val="81377920"/>
        <c:crosses val="autoZero"/>
        <c:auto val="1"/>
        <c:lblAlgn val="ctr"/>
        <c:lblOffset val="100"/>
      </c:catAx>
      <c:valAx>
        <c:axId val="81377920"/>
        <c:scaling>
          <c:orientation val="minMax"/>
        </c:scaling>
        <c:axPos val="l"/>
        <c:majorGridlines/>
        <c:numFmt formatCode="General" sourceLinked="1"/>
        <c:tickLblPos val="nextTo"/>
        <c:crossAx val="81376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Hoja1!$A$18</c:f>
              <c:strCache>
                <c:ptCount val="1"/>
                <c:pt idx="0">
                  <c:v>Activos</c:v>
                </c:pt>
              </c:strCache>
            </c:strRef>
          </c:tx>
          <c:cat>
            <c:numRef>
              <c:f>Hoja1!$B$17:$I$17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Hoja1!$B$18:$I$18</c:f>
              <c:numCache>
                <c:formatCode>General</c:formatCode>
                <c:ptCount val="8"/>
                <c:pt idx="0">
                  <c:v>1314.8</c:v>
                </c:pt>
                <c:pt idx="1">
                  <c:v>1317.4</c:v>
                </c:pt>
                <c:pt idx="2" formatCode="#,##0.00">
                  <c:v>1304.4000000000001</c:v>
                </c:pt>
                <c:pt idx="3" formatCode="#,##0.00">
                  <c:v>1316.6</c:v>
                </c:pt>
                <c:pt idx="4" formatCode="#,##0.00">
                  <c:v>1317.7</c:v>
                </c:pt>
                <c:pt idx="5" formatCode="#,##0.00">
                  <c:v>1290.9000000000001</c:v>
                </c:pt>
                <c:pt idx="6" formatCode="#,##0.00">
                  <c:v>1273.9000000000001</c:v>
                </c:pt>
                <c:pt idx="7" formatCode="#,##0.00">
                  <c:v>1260.7</c:v>
                </c:pt>
              </c:numCache>
            </c:numRef>
          </c:val>
        </c:ser>
        <c:axId val="81389824"/>
        <c:axId val="85463040"/>
      </c:barChart>
      <c:catAx>
        <c:axId val="81389824"/>
        <c:scaling>
          <c:orientation val="minMax"/>
        </c:scaling>
        <c:axPos val="b"/>
        <c:numFmt formatCode="General" sourceLinked="1"/>
        <c:tickLblPos val="nextTo"/>
        <c:crossAx val="85463040"/>
        <c:crosses val="autoZero"/>
        <c:auto val="1"/>
        <c:lblAlgn val="ctr"/>
        <c:lblOffset val="100"/>
      </c:catAx>
      <c:valAx>
        <c:axId val="85463040"/>
        <c:scaling>
          <c:orientation val="minMax"/>
        </c:scaling>
        <c:axPos val="l"/>
        <c:majorGridlines/>
        <c:numFmt formatCode="General" sourceLinked="1"/>
        <c:tickLblPos val="nextTo"/>
        <c:crossAx val="81389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7.0599518810148934E-2"/>
          <c:y val="3.203422406844815E-2"/>
          <c:w val="0.68567825896762902"/>
          <c:h val="0.79822506561679785"/>
        </c:manualLayout>
      </c:layout>
      <c:lineChart>
        <c:grouping val="standard"/>
        <c:ser>
          <c:idx val="0"/>
          <c:order val="0"/>
          <c:tx>
            <c:strRef>
              <c:f>Hoja1!$B$41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Hoja1!$A$42:$A$46</c:f>
              <c:strCache>
                <c:ptCount val="5"/>
                <c:pt idx="0">
                  <c:v>      Analfabetos</c:v>
                </c:pt>
                <c:pt idx="1">
                  <c:v>      Estudos primarios</c:v>
                </c:pt>
                <c:pt idx="2">
                  <c:v>      Ed sec.1ºetapa</c:v>
                </c:pt>
                <c:pt idx="3">
                  <c:v>      Ed sec.2ºetapa</c:v>
                </c:pt>
                <c:pt idx="4">
                  <c:v>      Educación superior</c:v>
                </c:pt>
              </c:strCache>
            </c:strRef>
          </c:cat>
          <c:val>
            <c:numRef>
              <c:f>Hoja1!$B$42:$B$46</c:f>
              <c:numCache>
                <c:formatCode>General</c:formatCode>
                <c:ptCount val="5"/>
                <c:pt idx="0">
                  <c:v>6.7</c:v>
                </c:pt>
                <c:pt idx="1">
                  <c:v>13.1</c:v>
                </c:pt>
                <c:pt idx="2">
                  <c:v>60.3</c:v>
                </c:pt>
                <c:pt idx="3">
                  <c:v>64.599999999999994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tx>
            <c:strRef>
              <c:f>Hoja1!$C$41</c:f>
              <c:strCache>
                <c:ptCount val="1"/>
                <c:pt idx="0">
                  <c:v>Homes</c:v>
                </c:pt>
              </c:strCache>
            </c:strRef>
          </c:tx>
          <c:cat>
            <c:strRef>
              <c:f>Hoja1!$A$42:$A$46</c:f>
              <c:strCache>
                <c:ptCount val="5"/>
                <c:pt idx="0">
                  <c:v>      Analfabetos</c:v>
                </c:pt>
                <c:pt idx="1">
                  <c:v>      Estudos primarios</c:v>
                </c:pt>
                <c:pt idx="2">
                  <c:v>      Ed sec.1ºetapa</c:v>
                </c:pt>
                <c:pt idx="3">
                  <c:v>      Ed sec.2ºetapa</c:v>
                </c:pt>
                <c:pt idx="4">
                  <c:v>      Educación superior</c:v>
                </c:pt>
              </c:strCache>
            </c:strRef>
          </c:cat>
          <c:val>
            <c:numRef>
              <c:f>Hoja1!$C$42:$C$46</c:f>
              <c:numCache>
                <c:formatCode>General</c:formatCode>
                <c:ptCount val="5"/>
                <c:pt idx="0">
                  <c:v>16.2</c:v>
                </c:pt>
                <c:pt idx="1">
                  <c:v>17.3</c:v>
                </c:pt>
                <c:pt idx="2">
                  <c:v>66.2</c:v>
                </c:pt>
                <c:pt idx="3">
                  <c:v>68.400000000000006</c:v>
                </c:pt>
                <c:pt idx="4">
                  <c:v>79.3</c:v>
                </c:pt>
              </c:numCache>
            </c:numRef>
          </c:val>
        </c:ser>
        <c:ser>
          <c:idx val="2"/>
          <c:order val="2"/>
          <c:tx>
            <c:strRef>
              <c:f>Hoja1!$D$41</c:f>
              <c:strCache>
                <c:ptCount val="1"/>
                <c:pt idx="0">
                  <c:v>Mulleres</c:v>
                </c:pt>
              </c:strCache>
            </c:strRef>
          </c:tx>
          <c:cat>
            <c:strRef>
              <c:f>Hoja1!$A$42:$A$46</c:f>
              <c:strCache>
                <c:ptCount val="5"/>
                <c:pt idx="0">
                  <c:v>      Analfabetos</c:v>
                </c:pt>
                <c:pt idx="1">
                  <c:v>      Estudos primarios</c:v>
                </c:pt>
                <c:pt idx="2">
                  <c:v>      Ed sec.1ºetapa</c:v>
                </c:pt>
                <c:pt idx="3">
                  <c:v>      Ed sec.2ºetapa</c:v>
                </c:pt>
                <c:pt idx="4">
                  <c:v>      Educación superior</c:v>
                </c:pt>
              </c:strCache>
            </c:strRef>
          </c:cat>
          <c:val>
            <c:numRef>
              <c:f>Hoja1!$D$42:$D$46</c:f>
              <c:numCache>
                <c:formatCode>General</c:formatCode>
                <c:ptCount val="5"/>
                <c:pt idx="0">
                  <c:v>1.6</c:v>
                </c:pt>
                <c:pt idx="1">
                  <c:v>10.1</c:v>
                </c:pt>
                <c:pt idx="2">
                  <c:v>53.5</c:v>
                </c:pt>
                <c:pt idx="3">
                  <c:v>60.7</c:v>
                </c:pt>
                <c:pt idx="4">
                  <c:v>80.7</c:v>
                </c:pt>
              </c:numCache>
            </c:numRef>
          </c:val>
        </c:ser>
        <c:marker val="1"/>
        <c:axId val="85489920"/>
        <c:axId val="85491712"/>
      </c:lineChart>
      <c:catAx>
        <c:axId val="854899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s-ES"/>
          </a:p>
        </c:txPr>
        <c:crossAx val="85491712"/>
        <c:crosses val="autoZero"/>
        <c:auto val="1"/>
        <c:lblAlgn val="ctr"/>
        <c:lblOffset val="100"/>
      </c:catAx>
      <c:valAx>
        <c:axId val="85491712"/>
        <c:scaling>
          <c:orientation val="minMax"/>
        </c:scaling>
        <c:axPos val="l"/>
        <c:majorGridlines/>
        <c:numFmt formatCode="General" sourceLinked="1"/>
        <c:tickLblPos val="nextTo"/>
        <c:crossAx val="85489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graficos!$A$38</c:f>
              <c:strCache>
                <c:ptCount val="1"/>
                <c:pt idx="0">
                  <c:v>Poboación ocupada</c:v>
                </c:pt>
              </c:strCache>
            </c:strRef>
          </c:tx>
          <c:cat>
            <c:numRef>
              <c:f>graficos!$B$37:$I$37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graficos!$B$38:$I$38</c:f>
              <c:numCache>
                <c:formatCode>General</c:formatCode>
                <c:ptCount val="8"/>
                <c:pt idx="0">
                  <c:v>1200.0999999999999</c:v>
                </c:pt>
                <c:pt idx="1">
                  <c:v>1155.4000000000001</c:v>
                </c:pt>
                <c:pt idx="2" formatCode="#,##0.00">
                  <c:v>1104.5</c:v>
                </c:pt>
                <c:pt idx="3" formatCode="#,##0.00">
                  <c:v>1089.3</c:v>
                </c:pt>
                <c:pt idx="4" formatCode="#,##0.00">
                  <c:v>1047.2</c:v>
                </c:pt>
                <c:pt idx="5" formatCode="#,##0.00">
                  <c:v>1006.4</c:v>
                </c:pt>
                <c:pt idx="6">
                  <c:v>998</c:v>
                </c:pt>
                <c:pt idx="7" formatCode="#,##0.00">
                  <c:v>1017.2</c:v>
                </c:pt>
              </c:numCache>
            </c:numRef>
          </c:val>
        </c:ser>
        <c:axId val="85497728"/>
        <c:axId val="85499264"/>
      </c:barChart>
      <c:catAx>
        <c:axId val="85497728"/>
        <c:scaling>
          <c:orientation val="minMax"/>
        </c:scaling>
        <c:axPos val="b"/>
        <c:numFmt formatCode="General" sourceLinked="1"/>
        <c:tickLblPos val="nextTo"/>
        <c:crossAx val="85499264"/>
        <c:crosses val="autoZero"/>
        <c:auto val="1"/>
        <c:lblAlgn val="ctr"/>
        <c:lblOffset val="100"/>
      </c:catAx>
      <c:valAx>
        <c:axId val="85499264"/>
        <c:scaling>
          <c:orientation val="minMax"/>
          <c:max val="1300"/>
          <c:min val="950"/>
        </c:scaling>
        <c:axPos val="l"/>
        <c:majorGridlines/>
        <c:numFmt formatCode="General" sourceLinked="1"/>
        <c:tickLblPos val="nextTo"/>
        <c:crossAx val="85497728"/>
        <c:crosses val="autoZero"/>
        <c:crossBetween val="between"/>
        <c:majorUnit val="50"/>
        <c:minorUnit val="40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1922-CAF0-4C69-AADA-C888636C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5730</Words>
  <Characters>31515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usuario</cp:lastModifiedBy>
  <cp:revision>5</cp:revision>
  <cp:lastPrinted>2016-02-22T09:53:00Z</cp:lastPrinted>
  <dcterms:created xsi:type="dcterms:W3CDTF">2016-02-22T10:26:00Z</dcterms:created>
  <dcterms:modified xsi:type="dcterms:W3CDTF">2016-02-22T11:25:00Z</dcterms:modified>
</cp:coreProperties>
</file>